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150F" w:rsidRDefault="008D1746">
      <w:pPr>
        <w:autoSpaceDE w:val="0"/>
        <w:autoSpaceDN w:val="0"/>
        <w:adjustRightInd w:val="0"/>
        <w:snapToGrid w:val="0"/>
        <w:jc w:val="center"/>
        <w:textAlignment w:val="baseline"/>
        <w:rPr>
          <w:rFonts w:ascii="黑体" w:eastAsia="黑体" w:hAnsi="华文仿宋"/>
          <w:sz w:val="36"/>
          <w:szCs w:val="36"/>
        </w:rPr>
      </w:pPr>
      <w:r>
        <w:rPr>
          <w:rFonts w:ascii="黑体" w:eastAsia="黑体" w:hAnsi="华文仿宋" w:hint="eastAsia"/>
          <w:sz w:val="36"/>
          <w:szCs w:val="36"/>
        </w:rPr>
        <w:t>中百控股集团股份有限公司</w:t>
      </w:r>
    </w:p>
    <w:p w:rsidR="00B0150F" w:rsidRDefault="008D1746">
      <w:pPr>
        <w:autoSpaceDE w:val="0"/>
        <w:autoSpaceDN w:val="0"/>
        <w:adjustRightInd w:val="0"/>
        <w:snapToGrid w:val="0"/>
        <w:jc w:val="center"/>
        <w:textAlignment w:val="baseline"/>
        <w:rPr>
          <w:rFonts w:ascii="黑体" w:eastAsia="黑体" w:hAnsi="黑体"/>
          <w:color w:val="000000"/>
          <w:sz w:val="36"/>
          <w:szCs w:val="36"/>
        </w:rPr>
      </w:pPr>
      <w:r>
        <w:rPr>
          <w:rFonts w:ascii="黑体" w:eastAsia="黑体" w:hAnsi="黑体" w:hint="eastAsia"/>
          <w:color w:val="000000"/>
          <w:sz w:val="36"/>
          <w:szCs w:val="36"/>
        </w:rPr>
        <w:t>2021</w:t>
      </w:r>
      <w:r>
        <w:rPr>
          <w:rFonts w:ascii="黑体" w:eastAsia="黑体" w:hAnsi="黑体" w:hint="eastAsia"/>
          <w:color w:val="000000" w:themeColor="text1"/>
          <w:sz w:val="36"/>
          <w:szCs w:val="36"/>
        </w:rPr>
        <w:t>年</w:t>
      </w:r>
      <w:r>
        <w:rPr>
          <w:rFonts w:ascii="黑体" w:eastAsia="黑体" w:hAnsi="黑体" w:hint="eastAsia"/>
          <w:color w:val="000000"/>
          <w:sz w:val="36"/>
          <w:szCs w:val="36"/>
        </w:rPr>
        <w:t>度内部控制</w:t>
      </w:r>
      <w:r w:rsidR="00BF5BB8">
        <w:rPr>
          <w:rFonts w:ascii="黑体" w:eastAsia="黑体" w:hAnsi="黑体" w:hint="eastAsia"/>
          <w:color w:val="000000"/>
          <w:sz w:val="36"/>
          <w:szCs w:val="36"/>
        </w:rPr>
        <w:t>自我</w:t>
      </w:r>
      <w:r>
        <w:rPr>
          <w:rFonts w:ascii="黑体" w:eastAsia="黑体" w:hAnsi="黑体" w:hint="eastAsia"/>
          <w:color w:val="000000"/>
          <w:sz w:val="36"/>
          <w:szCs w:val="36"/>
        </w:rPr>
        <w:t>评价报告</w:t>
      </w:r>
    </w:p>
    <w:p w:rsidR="00B0150F" w:rsidRDefault="00B0150F" w:rsidP="00094C66">
      <w:pPr>
        <w:autoSpaceDE w:val="0"/>
        <w:autoSpaceDN w:val="0"/>
        <w:adjustRightInd w:val="0"/>
        <w:snapToGrid w:val="0"/>
        <w:spacing w:beforeLines="50" w:afterLines="50" w:line="360" w:lineRule="auto"/>
        <w:jc w:val="center"/>
        <w:textAlignment w:val="baseline"/>
        <w:rPr>
          <w:rFonts w:asciiTheme="minorEastAsia" w:eastAsiaTheme="minorEastAsia" w:hAnsiTheme="minorEastAsia"/>
          <w:color w:val="000000"/>
          <w:sz w:val="24"/>
          <w:szCs w:val="24"/>
        </w:rPr>
      </w:pPr>
    </w:p>
    <w:p w:rsidR="00B0150F" w:rsidRDefault="008D1746">
      <w:pPr>
        <w:autoSpaceDE w:val="0"/>
        <w:autoSpaceDN w:val="0"/>
        <w:adjustRightInd w:val="0"/>
        <w:snapToGrid w:val="0"/>
        <w:spacing w:line="360" w:lineRule="auto"/>
        <w:textAlignment w:val="baseline"/>
        <w:rPr>
          <w:rFonts w:ascii="宋体" w:hAnsi="宋体" w:cs="宋体"/>
          <w:color w:val="000000"/>
          <w:sz w:val="24"/>
          <w:szCs w:val="24"/>
        </w:rPr>
      </w:pPr>
      <w:r>
        <w:rPr>
          <w:rFonts w:ascii="宋体" w:hAnsi="宋体" w:cs="宋体" w:hint="eastAsia"/>
          <w:color w:val="000000"/>
          <w:sz w:val="24"/>
          <w:szCs w:val="24"/>
        </w:rPr>
        <w:t xml:space="preserve">中百控股集团股份有限公司全体股东： </w:t>
      </w:r>
    </w:p>
    <w:p w:rsidR="00B0150F" w:rsidRDefault="008D1746">
      <w:pPr>
        <w:autoSpaceDE w:val="0"/>
        <w:autoSpaceDN w:val="0"/>
        <w:adjustRightInd w:val="0"/>
        <w:snapToGrid w:val="0"/>
        <w:spacing w:line="360" w:lineRule="auto"/>
        <w:textAlignment w:val="baseline"/>
        <w:rPr>
          <w:rFonts w:ascii="宋体" w:hAnsi="宋体" w:cs="宋体"/>
          <w:color w:val="000000"/>
          <w:sz w:val="24"/>
          <w:szCs w:val="24"/>
        </w:rPr>
      </w:pPr>
      <w:r>
        <w:rPr>
          <w:rFonts w:ascii="宋体" w:hAnsi="宋体" w:cs="宋体" w:hint="eastAsia"/>
          <w:color w:val="000000"/>
          <w:sz w:val="24"/>
          <w:szCs w:val="24"/>
        </w:rPr>
        <w:t xml:space="preserve">    根据《企业内部控制基本规范》及其配套指引的规定和其他内部控制监管要求（以下简称企业内部控制规范体系），结合本公司（以下简称公司）内部控制制度和评价办法，在内部控制日常监督和专项监督的基础上，我们对公</w:t>
      </w:r>
      <w:r>
        <w:rPr>
          <w:rFonts w:ascii="宋体" w:hAnsi="宋体" w:cs="宋体" w:hint="eastAsia"/>
          <w:color w:val="000000" w:themeColor="text1"/>
          <w:sz w:val="24"/>
          <w:szCs w:val="24"/>
        </w:rPr>
        <w:t>司2021年</w:t>
      </w:r>
      <w:r>
        <w:rPr>
          <w:rFonts w:ascii="宋体" w:hAnsi="宋体" w:cs="宋体" w:hint="eastAsia"/>
          <w:color w:val="000000"/>
          <w:sz w:val="24"/>
          <w:szCs w:val="24"/>
        </w:rPr>
        <w:t xml:space="preserve">12月31日（内部控制评价报告基准日）的内部控制有效性进行了评价。 </w:t>
      </w:r>
    </w:p>
    <w:p w:rsidR="00B0150F" w:rsidRDefault="008D1746">
      <w:pPr>
        <w:autoSpaceDE w:val="0"/>
        <w:autoSpaceDN w:val="0"/>
        <w:adjustRightInd w:val="0"/>
        <w:snapToGrid w:val="0"/>
        <w:spacing w:line="360" w:lineRule="auto"/>
        <w:textAlignment w:val="baseline"/>
        <w:rPr>
          <w:rFonts w:ascii="宋体" w:hAnsi="宋体" w:cs="宋体"/>
          <w:color w:val="000000"/>
          <w:sz w:val="24"/>
          <w:szCs w:val="24"/>
        </w:rPr>
      </w:pPr>
      <w:r>
        <w:rPr>
          <w:rFonts w:ascii="宋体" w:hAnsi="宋体" w:cs="宋体" w:hint="eastAsia"/>
          <w:color w:val="000000"/>
          <w:sz w:val="24"/>
          <w:szCs w:val="24"/>
        </w:rPr>
        <w:t xml:space="preserve">  </w:t>
      </w:r>
      <w:r>
        <w:rPr>
          <w:rFonts w:ascii="黑体" w:eastAsia="黑体" w:hAnsi="黑体" w:cs="黑体" w:hint="eastAsia"/>
          <w:color w:val="000000"/>
          <w:sz w:val="24"/>
          <w:szCs w:val="24"/>
        </w:rPr>
        <w:t xml:space="preserve">  一、重要声明 </w:t>
      </w:r>
    </w:p>
    <w:p w:rsidR="00B0150F" w:rsidRDefault="008D1746">
      <w:pPr>
        <w:autoSpaceDE w:val="0"/>
        <w:autoSpaceDN w:val="0"/>
        <w:adjustRightInd w:val="0"/>
        <w:snapToGrid w:val="0"/>
        <w:spacing w:line="360" w:lineRule="auto"/>
        <w:textAlignment w:val="baseline"/>
        <w:rPr>
          <w:rFonts w:ascii="宋体" w:hAnsi="宋体" w:cs="宋体"/>
          <w:color w:val="000000"/>
          <w:sz w:val="24"/>
          <w:szCs w:val="24"/>
        </w:rPr>
      </w:pPr>
      <w:r>
        <w:rPr>
          <w:rFonts w:ascii="宋体" w:hAnsi="宋体" w:cs="宋体" w:hint="eastAsia"/>
          <w:color w:val="000000"/>
          <w:sz w:val="24"/>
          <w:szCs w:val="24"/>
        </w:rPr>
        <w:t xml:space="preserve">    按照企业内部控制规范体系的规定，建立健全和有效实施内部控制，评价其有效性，并如实披露内部控制评价报告是公司董事会的责任。监事会对董事会建立和实施内部控制进行监督。经理层负责组织领导企业内部控制的日常运行。公司董事会、监事会及董事、监事、高级管理人员保证本报告内容不存在任何虚假记载、误导性陈述或重大遗漏，并对报告内容的真实性、准确性和完整性承担个别及连带法律责任。</w:t>
      </w:r>
    </w:p>
    <w:p w:rsidR="00B0150F" w:rsidRDefault="008D1746">
      <w:pPr>
        <w:autoSpaceDE w:val="0"/>
        <w:autoSpaceDN w:val="0"/>
        <w:adjustRightInd w:val="0"/>
        <w:snapToGrid w:val="0"/>
        <w:spacing w:line="360" w:lineRule="auto"/>
        <w:ind w:firstLine="600"/>
        <w:textAlignment w:val="baseline"/>
        <w:rPr>
          <w:rFonts w:ascii="宋体" w:hAnsi="宋体" w:cs="宋体"/>
          <w:color w:val="000000"/>
          <w:sz w:val="24"/>
          <w:szCs w:val="24"/>
        </w:rPr>
      </w:pPr>
      <w:r>
        <w:rPr>
          <w:rFonts w:ascii="宋体" w:hAnsi="宋体" w:cs="宋体" w:hint="eastAsia"/>
          <w:color w:val="000000"/>
          <w:sz w:val="24"/>
          <w:szCs w:val="24"/>
        </w:rPr>
        <w:t>公司内部控制的目标是合理保证经营管理合法合规、资产安全、财务报告及相关信息真实完整，提高经营效率和效果，促进实现发展战略。由于内部控制存在的固有局限性，故仅能为实现上述目标提供合理保证。此外，由于情况的变化可能导致内部控制变得不恰当，或对控制政策和程序遵循的程度降低，根据内部控制评价结果推测未来内部控制的有效性具有一定的风险。</w:t>
      </w:r>
    </w:p>
    <w:p w:rsidR="00B0150F" w:rsidRDefault="008D1746">
      <w:pPr>
        <w:autoSpaceDE w:val="0"/>
        <w:autoSpaceDN w:val="0"/>
        <w:adjustRightInd w:val="0"/>
        <w:snapToGrid w:val="0"/>
        <w:spacing w:line="360" w:lineRule="auto"/>
        <w:textAlignment w:val="baseline"/>
        <w:rPr>
          <w:rFonts w:ascii="宋体" w:hAnsi="宋体" w:cs="宋体"/>
          <w:color w:val="000000"/>
          <w:sz w:val="24"/>
          <w:szCs w:val="24"/>
        </w:rPr>
      </w:pPr>
      <w:r>
        <w:rPr>
          <w:rFonts w:ascii="宋体" w:hAnsi="宋体" w:cs="宋体" w:hint="eastAsia"/>
          <w:color w:val="000000"/>
          <w:sz w:val="24"/>
          <w:szCs w:val="24"/>
        </w:rPr>
        <w:t xml:space="preserve">    </w:t>
      </w:r>
      <w:r>
        <w:rPr>
          <w:rFonts w:ascii="黑体" w:eastAsia="黑体" w:hAnsi="黑体" w:cs="黑体" w:hint="eastAsia"/>
          <w:color w:val="000000"/>
          <w:sz w:val="24"/>
          <w:szCs w:val="24"/>
        </w:rPr>
        <w:t>二、内部控制评价结论</w:t>
      </w:r>
    </w:p>
    <w:p w:rsidR="00B0150F" w:rsidRDefault="008D1746">
      <w:pPr>
        <w:autoSpaceDE w:val="0"/>
        <w:autoSpaceDN w:val="0"/>
        <w:adjustRightInd w:val="0"/>
        <w:snapToGrid w:val="0"/>
        <w:spacing w:line="360" w:lineRule="auto"/>
        <w:textAlignment w:val="baseline"/>
        <w:rPr>
          <w:rFonts w:ascii="宋体" w:hAnsi="宋体" w:cs="宋体"/>
          <w:color w:val="000000"/>
          <w:sz w:val="24"/>
          <w:szCs w:val="24"/>
        </w:rPr>
      </w:pPr>
      <w:r>
        <w:rPr>
          <w:rFonts w:ascii="宋体" w:hAnsi="宋体" w:cs="宋体" w:hint="eastAsia"/>
          <w:color w:val="000000"/>
          <w:sz w:val="24"/>
          <w:szCs w:val="24"/>
        </w:rPr>
        <w:t xml:space="preserve">    根据公司财务报告内部控制重大缺陷的认定情况，于内部控制评价报告基准日，不存在财务报告内部控制重大缺陷，董事会认为，公司已按照企业内部控制规范体系和相关规定的要求在所有重大方面保持了有效的财务报告内部控制。 </w:t>
      </w:r>
    </w:p>
    <w:p w:rsidR="00B0150F" w:rsidRDefault="008D1746">
      <w:pPr>
        <w:autoSpaceDE w:val="0"/>
        <w:autoSpaceDN w:val="0"/>
        <w:adjustRightInd w:val="0"/>
        <w:snapToGrid w:val="0"/>
        <w:spacing w:line="360" w:lineRule="auto"/>
        <w:textAlignment w:val="baseline"/>
        <w:rPr>
          <w:rFonts w:ascii="宋体" w:hAnsi="宋体" w:cs="宋体"/>
          <w:color w:val="000000"/>
          <w:sz w:val="24"/>
          <w:szCs w:val="24"/>
        </w:rPr>
      </w:pPr>
      <w:r>
        <w:rPr>
          <w:rFonts w:ascii="宋体" w:hAnsi="宋体" w:cs="宋体" w:hint="eastAsia"/>
          <w:color w:val="000000"/>
          <w:sz w:val="24"/>
          <w:szCs w:val="24"/>
        </w:rPr>
        <w:t xml:space="preserve">    根据公司非财务报告内部控制重大缺陷认定情况，于内部控制评价报告基准日，公司未发现非财务报告内部控制重大缺陷。</w:t>
      </w:r>
    </w:p>
    <w:p w:rsidR="00B0150F" w:rsidRDefault="008D1746">
      <w:pPr>
        <w:autoSpaceDE w:val="0"/>
        <w:autoSpaceDN w:val="0"/>
        <w:adjustRightInd w:val="0"/>
        <w:snapToGrid w:val="0"/>
        <w:spacing w:line="360" w:lineRule="auto"/>
        <w:ind w:firstLineChars="200" w:firstLine="480"/>
        <w:textAlignment w:val="baseline"/>
        <w:rPr>
          <w:rFonts w:ascii="宋体" w:hAnsi="宋体" w:cs="宋体"/>
          <w:color w:val="000000"/>
          <w:sz w:val="24"/>
          <w:szCs w:val="24"/>
        </w:rPr>
      </w:pPr>
      <w:r>
        <w:rPr>
          <w:rFonts w:ascii="宋体" w:hAnsi="宋体" w:cs="宋体" w:hint="eastAsia"/>
          <w:color w:val="000000"/>
          <w:sz w:val="24"/>
          <w:szCs w:val="24"/>
        </w:rPr>
        <w:t>自内部控制评价报告基准日至内部控制评价报告发出日之间未发生影响内部控制有效性评价结论的因素。</w:t>
      </w:r>
    </w:p>
    <w:p w:rsidR="00B0150F" w:rsidRDefault="008D1746">
      <w:pPr>
        <w:tabs>
          <w:tab w:val="left" w:pos="426"/>
        </w:tabs>
        <w:autoSpaceDE w:val="0"/>
        <w:autoSpaceDN w:val="0"/>
        <w:adjustRightInd w:val="0"/>
        <w:snapToGrid w:val="0"/>
        <w:spacing w:line="360" w:lineRule="auto"/>
        <w:textAlignment w:val="baseline"/>
        <w:rPr>
          <w:rFonts w:ascii="宋体" w:hAnsi="宋体" w:cs="宋体"/>
          <w:color w:val="000000"/>
          <w:sz w:val="24"/>
          <w:szCs w:val="24"/>
        </w:rPr>
      </w:pPr>
      <w:r>
        <w:rPr>
          <w:rFonts w:ascii="宋体" w:hAnsi="宋体" w:cs="宋体" w:hint="eastAsia"/>
          <w:color w:val="000000"/>
          <w:sz w:val="24"/>
          <w:szCs w:val="24"/>
        </w:rPr>
        <w:t xml:space="preserve">    </w:t>
      </w:r>
      <w:r>
        <w:rPr>
          <w:rFonts w:ascii="黑体" w:eastAsia="黑体" w:hAnsi="黑体" w:cs="黑体" w:hint="eastAsia"/>
          <w:color w:val="000000"/>
          <w:sz w:val="24"/>
          <w:szCs w:val="24"/>
        </w:rPr>
        <w:t>三、内部控制评价工作情况</w:t>
      </w:r>
    </w:p>
    <w:p w:rsidR="00B0150F" w:rsidRDefault="008D1746">
      <w:pPr>
        <w:autoSpaceDE w:val="0"/>
        <w:autoSpaceDN w:val="0"/>
        <w:adjustRightInd w:val="0"/>
        <w:snapToGrid w:val="0"/>
        <w:spacing w:line="360" w:lineRule="auto"/>
        <w:ind w:firstLine="600"/>
        <w:textAlignment w:val="baseline"/>
        <w:rPr>
          <w:rFonts w:ascii="楷体" w:eastAsia="楷体" w:hAnsi="楷体" w:cs="楷体"/>
          <w:color w:val="000000"/>
          <w:sz w:val="24"/>
          <w:szCs w:val="24"/>
        </w:rPr>
      </w:pPr>
      <w:r>
        <w:rPr>
          <w:rFonts w:ascii="楷体" w:eastAsia="楷体" w:hAnsi="楷体" w:cs="楷体" w:hint="eastAsia"/>
          <w:b/>
          <w:color w:val="000000"/>
          <w:sz w:val="24"/>
          <w:szCs w:val="24"/>
        </w:rPr>
        <w:lastRenderedPageBreak/>
        <w:t>（一）内部控制评价范围</w:t>
      </w:r>
    </w:p>
    <w:p w:rsidR="00B0150F" w:rsidRDefault="008D1746" w:rsidP="003254F8">
      <w:pPr>
        <w:widowControl/>
        <w:adjustRightInd w:val="0"/>
        <w:snapToGrid w:val="0"/>
        <w:spacing w:line="360" w:lineRule="auto"/>
        <w:ind w:firstLineChars="202" w:firstLine="485"/>
        <w:rPr>
          <w:rFonts w:ascii="宋体" w:hAnsi="宋体" w:cs="宋体"/>
          <w:color w:val="000000" w:themeColor="text1"/>
          <w:sz w:val="24"/>
          <w:szCs w:val="24"/>
        </w:rPr>
      </w:pPr>
      <w:r>
        <w:rPr>
          <w:rFonts w:ascii="宋体" w:hAnsi="宋体" w:cs="宋体" w:hint="eastAsia"/>
          <w:sz w:val="24"/>
          <w:szCs w:val="24"/>
        </w:rPr>
        <w:t>公司按照风险导向原则确定纳入评价范围的主要单位、业务和事项以及高风险领域。2021年纳入评价范围的主要单位共计九家,具体为：母公司，权属公司中百仓储超市有限公司、中百超市有限公司、武汉中百百货有限责任公司、中百集团武汉生鲜食品加工配送有限公司、武汉中百新晨环保包装科技有限公司、武汉中百物流配送有限公司、武汉中百便利店有限公司、武汉中百物业管理有限公司。</w:t>
      </w:r>
      <w:r>
        <w:rPr>
          <w:rFonts w:ascii="宋体" w:hAnsi="宋体" w:cs="宋体" w:hint="eastAsia"/>
          <w:color w:val="000000" w:themeColor="text1"/>
          <w:sz w:val="24"/>
          <w:szCs w:val="24"/>
        </w:rPr>
        <w:t>纳入评价范围单位资产总额占公司合并财务报表资产总额的96.31%，营业收入合计占公司合并财务报表营业收入总额的99.75%；</w:t>
      </w:r>
      <w:r>
        <w:rPr>
          <w:rFonts w:ascii="宋体" w:hAnsi="宋体" w:cs="宋体" w:hint="eastAsia"/>
          <w:sz w:val="24"/>
          <w:szCs w:val="24"/>
        </w:rPr>
        <w:t>纳入评价范围的主要业务和事项包括:组织架构、发展战略、人力</w:t>
      </w:r>
      <w:r>
        <w:rPr>
          <w:rFonts w:ascii="宋体" w:hAnsi="宋体" w:cs="宋体" w:hint="eastAsia"/>
          <w:color w:val="000000" w:themeColor="text1"/>
          <w:sz w:val="24"/>
          <w:szCs w:val="24"/>
        </w:rPr>
        <w:t>资源、社会责任、企业文化、资金活动、采购业务、资产管理、销售业务、研究与开发、工程项目、财务报告、全面预算、合同管理、内部信息传递、信息系统等；重点关注的高风</w:t>
      </w:r>
      <w:r>
        <w:rPr>
          <w:rFonts w:ascii="宋体" w:hAnsi="宋体" w:cs="宋体" w:hint="eastAsia"/>
          <w:color w:val="000000"/>
          <w:sz w:val="24"/>
          <w:szCs w:val="24"/>
        </w:rPr>
        <w:t>险领域主要包括：战略风险、财务风险、市场风险、运营风险和法律风险。</w:t>
      </w:r>
    </w:p>
    <w:p w:rsidR="00B0150F" w:rsidRDefault="008D1746">
      <w:pPr>
        <w:autoSpaceDE w:val="0"/>
        <w:autoSpaceDN w:val="0"/>
        <w:adjustRightInd w:val="0"/>
        <w:snapToGrid w:val="0"/>
        <w:spacing w:line="360" w:lineRule="auto"/>
        <w:ind w:firstLine="600"/>
        <w:textAlignment w:val="baseline"/>
        <w:rPr>
          <w:rFonts w:ascii="宋体" w:hAnsi="宋体" w:cs="宋体"/>
          <w:color w:val="000000"/>
          <w:sz w:val="24"/>
          <w:szCs w:val="24"/>
        </w:rPr>
      </w:pPr>
      <w:r>
        <w:rPr>
          <w:rFonts w:ascii="宋体" w:hAnsi="宋体" w:cs="宋体" w:hint="eastAsia"/>
          <w:color w:val="000000"/>
          <w:sz w:val="24"/>
          <w:szCs w:val="24"/>
        </w:rPr>
        <w:t>上述纳入评价范围的单位、业务和事项以及高风险领域涵盖了公司经营管理的主要方面，不存在重大遗漏。</w:t>
      </w:r>
    </w:p>
    <w:p w:rsidR="00B0150F" w:rsidRDefault="008D1746">
      <w:pPr>
        <w:autoSpaceDE w:val="0"/>
        <w:autoSpaceDN w:val="0"/>
        <w:adjustRightInd w:val="0"/>
        <w:snapToGrid w:val="0"/>
        <w:spacing w:line="360" w:lineRule="auto"/>
        <w:textAlignment w:val="baseline"/>
        <w:rPr>
          <w:rFonts w:ascii="宋体" w:hAnsi="宋体" w:cs="宋体"/>
          <w:color w:val="000000"/>
          <w:sz w:val="24"/>
          <w:szCs w:val="24"/>
        </w:rPr>
      </w:pPr>
      <w:r>
        <w:rPr>
          <w:rFonts w:ascii="宋体" w:hAnsi="宋体" w:cs="宋体" w:hint="eastAsia"/>
          <w:color w:val="000000"/>
          <w:sz w:val="24"/>
          <w:szCs w:val="24"/>
        </w:rPr>
        <w:t xml:space="preserve">   </w:t>
      </w:r>
      <w:r>
        <w:rPr>
          <w:rFonts w:ascii="楷体" w:eastAsia="楷体" w:hAnsi="楷体" w:cs="楷体" w:hint="eastAsia"/>
          <w:b/>
          <w:color w:val="000000"/>
          <w:sz w:val="24"/>
          <w:szCs w:val="24"/>
        </w:rPr>
        <w:t xml:space="preserve"> （二)内部控制评价工作依据及内部控制缺陷认定标准</w:t>
      </w:r>
    </w:p>
    <w:p w:rsidR="00B0150F" w:rsidRDefault="008D1746">
      <w:pPr>
        <w:autoSpaceDE w:val="0"/>
        <w:autoSpaceDN w:val="0"/>
        <w:adjustRightInd w:val="0"/>
        <w:snapToGrid w:val="0"/>
        <w:spacing w:line="360" w:lineRule="auto"/>
        <w:textAlignment w:val="baseline"/>
        <w:rPr>
          <w:rFonts w:ascii="宋体" w:hAnsi="宋体" w:cs="宋体"/>
          <w:color w:val="000000"/>
          <w:sz w:val="24"/>
          <w:szCs w:val="24"/>
        </w:rPr>
      </w:pPr>
      <w:r>
        <w:rPr>
          <w:rFonts w:ascii="宋体" w:hAnsi="宋体" w:cs="宋体" w:hint="eastAsia"/>
          <w:color w:val="000000"/>
          <w:sz w:val="24"/>
          <w:szCs w:val="24"/>
        </w:rPr>
        <w:t xml:space="preserve">    公司根据企业内部控制规范体系的规定和要求，结合本公司内部控制制度和评价办法，组织开展内部控制评价工作。 </w:t>
      </w:r>
    </w:p>
    <w:p w:rsidR="00B0150F" w:rsidRDefault="008D1746">
      <w:pPr>
        <w:autoSpaceDE w:val="0"/>
        <w:autoSpaceDN w:val="0"/>
        <w:adjustRightInd w:val="0"/>
        <w:snapToGrid w:val="0"/>
        <w:spacing w:line="360" w:lineRule="auto"/>
        <w:textAlignment w:val="baseline"/>
        <w:rPr>
          <w:rFonts w:ascii="宋体" w:hAnsi="宋体" w:cs="宋体"/>
          <w:color w:val="000000"/>
          <w:sz w:val="24"/>
          <w:szCs w:val="24"/>
        </w:rPr>
      </w:pPr>
      <w:r>
        <w:rPr>
          <w:rFonts w:ascii="宋体" w:hAnsi="宋体" w:cs="宋体" w:hint="eastAsia"/>
          <w:color w:val="000000"/>
          <w:sz w:val="24"/>
          <w:szCs w:val="24"/>
        </w:rPr>
        <w:t xml:space="preserve">    公司董事会根据企业内部控制规范体系对重大缺陷、重要缺陷和一般缺陷的认定要求，结合公司规模、行业特征、风险偏好和风险承受度等因素，区分财务报告内部控制和非财务报告内部控制，研究确定了适用于本公司的内部控制缺陷具体认定标准，并与以前年度保持一致。公司确定的内部控制缺陷认定标准如下：</w:t>
      </w:r>
    </w:p>
    <w:p w:rsidR="00B0150F" w:rsidRDefault="008D1746">
      <w:pPr>
        <w:pStyle w:val="a9"/>
        <w:numPr>
          <w:ilvl w:val="0"/>
          <w:numId w:val="1"/>
        </w:numPr>
        <w:autoSpaceDE w:val="0"/>
        <w:autoSpaceDN w:val="0"/>
        <w:adjustRightInd w:val="0"/>
        <w:snapToGrid w:val="0"/>
        <w:spacing w:line="360" w:lineRule="auto"/>
        <w:ind w:firstLineChars="0"/>
        <w:textAlignment w:val="baseline"/>
        <w:rPr>
          <w:rFonts w:ascii="宋体" w:hAnsi="宋体" w:cs="宋体"/>
          <w:b/>
          <w:color w:val="000000"/>
          <w:sz w:val="24"/>
          <w:szCs w:val="24"/>
        </w:rPr>
      </w:pPr>
      <w:r>
        <w:rPr>
          <w:rFonts w:ascii="宋体" w:hAnsi="宋体" w:cs="宋体" w:hint="eastAsia"/>
          <w:b/>
          <w:color w:val="000000"/>
          <w:sz w:val="24"/>
          <w:szCs w:val="24"/>
        </w:rPr>
        <w:t>财务报告内部控制缺陷认定标准</w:t>
      </w:r>
    </w:p>
    <w:p w:rsidR="00B0150F" w:rsidRDefault="008D1746">
      <w:pPr>
        <w:adjustRightInd w:val="0"/>
        <w:snapToGrid w:val="0"/>
        <w:spacing w:line="360" w:lineRule="auto"/>
        <w:ind w:firstLineChars="200" w:firstLine="480"/>
        <w:rPr>
          <w:rFonts w:ascii="宋体" w:hAnsi="宋体" w:cs="宋体"/>
          <w:color w:val="000000"/>
          <w:sz w:val="24"/>
          <w:szCs w:val="24"/>
        </w:rPr>
      </w:pPr>
      <w:r>
        <w:rPr>
          <w:rFonts w:ascii="宋体" w:hAnsi="宋体" w:cs="宋体" w:hint="eastAsia"/>
          <w:color w:val="000000"/>
          <w:sz w:val="24"/>
          <w:szCs w:val="24"/>
        </w:rPr>
        <w:t>公司各级子公司财务报表（包含漏报）重要程度的定量标准如下：</w:t>
      </w:r>
    </w:p>
    <w:tbl>
      <w:tblPr>
        <w:tblW w:w="8222"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52"/>
        <w:gridCol w:w="3260"/>
        <w:gridCol w:w="2410"/>
      </w:tblGrid>
      <w:tr w:rsidR="00094C66" w:rsidTr="003E1763">
        <w:trPr>
          <w:trHeight w:val="455"/>
          <w:jc w:val="center"/>
        </w:trPr>
        <w:tc>
          <w:tcPr>
            <w:tcW w:w="2552" w:type="dxa"/>
            <w:tcBorders>
              <w:top w:val="single" w:sz="4" w:space="0" w:color="auto"/>
              <w:left w:val="single" w:sz="4" w:space="0" w:color="auto"/>
              <w:bottom w:val="single" w:sz="4" w:space="0" w:color="auto"/>
              <w:right w:val="single" w:sz="4" w:space="0" w:color="auto"/>
            </w:tcBorders>
            <w:shd w:val="clear" w:color="auto" w:fill="D9D9D9"/>
            <w:vAlign w:val="center"/>
          </w:tcPr>
          <w:p w:rsidR="00094C66" w:rsidRDefault="00094C66" w:rsidP="003E1763">
            <w:pPr>
              <w:adjustRightInd w:val="0"/>
              <w:snapToGrid w:val="0"/>
              <w:jc w:val="center"/>
              <w:rPr>
                <w:rFonts w:ascii="宋体" w:hAnsi="宋体" w:cs="宋体"/>
                <w:color w:val="000000"/>
                <w:sz w:val="24"/>
              </w:rPr>
            </w:pPr>
            <w:r>
              <w:rPr>
                <w:rFonts w:ascii="宋体" w:hAnsi="宋体" w:cs="宋体" w:hint="eastAsia"/>
                <w:color w:val="000000"/>
                <w:sz w:val="24"/>
              </w:rPr>
              <w:t>重大缺陷</w:t>
            </w:r>
          </w:p>
        </w:tc>
        <w:tc>
          <w:tcPr>
            <w:tcW w:w="3260" w:type="dxa"/>
            <w:tcBorders>
              <w:top w:val="single" w:sz="4" w:space="0" w:color="auto"/>
              <w:left w:val="single" w:sz="4" w:space="0" w:color="auto"/>
              <w:bottom w:val="single" w:sz="4" w:space="0" w:color="auto"/>
              <w:right w:val="single" w:sz="4" w:space="0" w:color="auto"/>
            </w:tcBorders>
            <w:shd w:val="clear" w:color="auto" w:fill="D9D9D9"/>
            <w:vAlign w:val="center"/>
          </w:tcPr>
          <w:p w:rsidR="00094C66" w:rsidRDefault="00094C66" w:rsidP="003E1763">
            <w:pPr>
              <w:adjustRightInd w:val="0"/>
              <w:snapToGrid w:val="0"/>
              <w:jc w:val="center"/>
              <w:rPr>
                <w:rFonts w:ascii="宋体" w:hAnsi="宋体" w:cs="宋体"/>
                <w:color w:val="000000"/>
                <w:sz w:val="24"/>
              </w:rPr>
            </w:pPr>
            <w:r>
              <w:rPr>
                <w:rFonts w:ascii="宋体" w:hAnsi="宋体" w:cs="宋体" w:hint="eastAsia"/>
                <w:color w:val="000000"/>
                <w:sz w:val="24"/>
              </w:rPr>
              <w:t>重要缺陷</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094C66" w:rsidRDefault="00094C66" w:rsidP="003E1763">
            <w:pPr>
              <w:adjustRightInd w:val="0"/>
              <w:snapToGrid w:val="0"/>
              <w:jc w:val="center"/>
              <w:rPr>
                <w:rFonts w:ascii="宋体" w:hAnsi="宋体" w:cs="宋体"/>
                <w:color w:val="000000"/>
                <w:sz w:val="24"/>
              </w:rPr>
            </w:pPr>
            <w:r>
              <w:rPr>
                <w:rFonts w:ascii="宋体" w:hAnsi="宋体" w:cs="宋体" w:hint="eastAsia"/>
                <w:color w:val="000000"/>
                <w:sz w:val="24"/>
              </w:rPr>
              <w:t>一般缺陷</w:t>
            </w:r>
          </w:p>
        </w:tc>
      </w:tr>
      <w:tr w:rsidR="00094C66" w:rsidTr="003E1763">
        <w:trPr>
          <w:jc w:val="center"/>
        </w:trPr>
        <w:tc>
          <w:tcPr>
            <w:tcW w:w="2552" w:type="dxa"/>
            <w:tcBorders>
              <w:top w:val="single" w:sz="4" w:space="0" w:color="auto"/>
              <w:left w:val="single" w:sz="4" w:space="0" w:color="auto"/>
              <w:bottom w:val="single" w:sz="4" w:space="0" w:color="auto"/>
              <w:right w:val="single" w:sz="4" w:space="0" w:color="auto"/>
            </w:tcBorders>
            <w:vAlign w:val="center"/>
          </w:tcPr>
          <w:p w:rsidR="00094C66" w:rsidRDefault="00094C66" w:rsidP="003E1763">
            <w:pPr>
              <w:adjustRightInd w:val="0"/>
              <w:snapToGrid w:val="0"/>
              <w:jc w:val="center"/>
              <w:rPr>
                <w:rFonts w:ascii="宋体" w:hAnsi="宋体" w:cs="宋体"/>
                <w:color w:val="000000"/>
                <w:sz w:val="24"/>
              </w:rPr>
            </w:pPr>
            <w:r>
              <w:rPr>
                <w:rFonts w:ascii="宋体" w:hAnsi="宋体" w:cs="宋体" w:hint="eastAsia"/>
                <w:color w:val="000000"/>
                <w:sz w:val="24"/>
              </w:rPr>
              <w:t>错报≥营业收入总额的5‰</w:t>
            </w:r>
          </w:p>
        </w:tc>
        <w:tc>
          <w:tcPr>
            <w:tcW w:w="3260" w:type="dxa"/>
            <w:tcBorders>
              <w:top w:val="single" w:sz="4" w:space="0" w:color="auto"/>
              <w:left w:val="single" w:sz="4" w:space="0" w:color="auto"/>
              <w:bottom w:val="single" w:sz="4" w:space="0" w:color="auto"/>
              <w:right w:val="single" w:sz="4" w:space="0" w:color="auto"/>
            </w:tcBorders>
            <w:vAlign w:val="center"/>
          </w:tcPr>
          <w:p w:rsidR="00094C66" w:rsidRDefault="00094C66" w:rsidP="003E1763">
            <w:pPr>
              <w:adjustRightInd w:val="0"/>
              <w:snapToGrid w:val="0"/>
              <w:jc w:val="center"/>
              <w:rPr>
                <w:rFonts w:ascii="宋体" w:hAnsi="宋体" w:cs="宋体"/>
                <w:color w:val="000000"/>
                <w:sz w:val="24"/>
              </w:rPr>
            </w:pPr>
            <w:r>
              <w:rPr>
                <w:rFonts w:ascii="宋体" w:hAnsi="宋体" w:cs="宋体" w:hint="eastAsia"/>
                <w:color w:val="000000"/>
                <w:sz w:val="24"/>
              </w:rPr>
              <w:t>营业收入总额的2‰≤错报﹤营业收入总额的5‰</w:t>
            </w:r>
          </w:p>
        </w:tc>
        <w:tc>
          <w:tcPr>
            <w:tcW w:w="2410" w:type="dxa"/>
            <w:tcBorders>
              <w:top w:val="single" w:sz="4" w:space="0" w:color="auto"/>
              <w:left w:val="single" w:sz="4" w:space="0" w:color="auto"/>
              <w:bottom w:val="single" w:sz="4" w:space="0" w:color="auto"/>
              <w:right w:val="single" w:sz="4" w:space="0" w:color="auto"/>
            </w:tcBorders>
            <w:vAlign w:val="center"/>
          </w:tcPr>
          <w:p w:rsidR="00094C66" w:rsidRDefault="00094C66" w:rsidP="003E1763">
            <w:pPr>
              <w:adjustRightInd w:val="0"/>
              <w:snapToGrid w:val="0"/>
              <w:jc w:val="center"/>
              <w:rPr>
                <w:rFonts w:ascii="宋体" w:hAnsi="宋体" w:cs="宋体"/>
                <w:color w:val="000000"/>
                <w:sz w:val="24"/>
              </w:rPr>
            </w:pPr>
            <w:r>
              <w:rPr>
                <w:rFonts w:ascii="宋体" w:hAnsi="宋体" w:cs="宋体" w:hint="eastAsia"/>
                <w:color w:val="000000"/>
                <w:sz w:val="24"/>
              </w:rPr>
              <w:t>错报﹤营业收入总额的 2‰</w:t>
            </w:r>
          </w:p>
        </w:tc>
      </w:tr>
    </w:tbl>
    <w:p w:rsidR="00B0150F" w:rsidRDefault="008D1746">
      <w:pPr>
        <w:adjustRightInd w:val="0"/>
        <w:snapToGrid w:val="0"/>
        <w:spacing w:line="360" w:lineRule="auto"/>
        <w:ind w:firstLineChars="200" w:firstLine="480"/>
        <w:rPr>
          <w:rFonts w:ascii="宋体" w:hAnsi="宋体" w:cs="宋体"/>
          <w:color w:val="000000"/>
          <w:sz w:val="24"/>
          <w:szCs w:val="24"/>
        </w:rPr>
      </w:pPr>
      <w:r>
        <w:rPr>
          <w:rFonts w:ascii="宋体" w:hAnsi="宋体" w:cs="宋体" w:hint="eastAsia"/>
          <w:color w:val="000000"/>
          <w:sz w:val="24"/>
          <w:szCs w:val="24"/>
        </w:rPr>
        <w:t>公司整体层面财务报表（包含漏报）重要程度的定量标准为：确定错报指标 1 和 2，错报指标 1 是指潜在错报金额合计除以被检查单位当期主营业务收入与期末资产孰高值。错报指标 2 指潜在错报金额合计除以公司当期营业收入。确认影响会计报表缺陷等级：一般缺陷为错报指标 1≥1‰，且错报指标 2﹤2‰；</w:t>
      </w:r>
      <w:r>
        <w:rPr>
          <w:rFonts w:ascii="宋体" w:hAnsi="宋体" w:cs="宋体" w:hint="eastAsia"/>
          <w:color w:val="000000"/>
          <w:sz w:val="24"/>
          <w:szCs w:val="24"/>
        </w:rPr>
        <w:lastRenderedPageBreak/>
        <w:t>重要缺陷：2‰≤错报指标 2﹤5‰；重大缺陷：错报指标 2≥5‰。</w:t>
      </w:r>
    </w:p>
    <w:p w:rsidR="00B0150F" w:rsidRDefault="008D1746">
      <w:pPr>
        <w:autoSpaceDE w:val="0"/>
        <w:autoSpaceDN w:val="0"/>
        <w:adjustRightInd w:val="0"/>
        <w:snapToGrid w:val="0"/>
        <w:spacing w:line="360" w:lineRule="auto"/>
        <w:textAlignment w:val="baseline"/>
        <w:rPr>
          <w:rFonts w:ascii="宋体" w:hAnsi="宋体" w:cs="宋体"/>
          <w:color w:val="000000"/>
          <w:sz w:val="24"/>
          <w:szCs w:val="24"/>
        </w:rPr>
      </w:pPr>
      <w:r>
        <w:rPr>
          <w:rFonts w:ascii="宋体" w:hAnsi="宋体" w:cs="宋体" w:hint="eastAsia"/>
          <w:color w:val="000000"/>
          <w:sz w:val="24"/>
          <w:szCs w:val="24"/>
        </w:rPr>
        <w:t xml:space="preserve">    公司确定的财务报告内部控制缺陷评价的定性标准如下：</w:t>
      </w:r>
    </w:p>
    <w:p w:rsidR="00B0150F" w:rsidRDefault="008D1746">
      <w:pPr>
        <w:tabs>
          <w:tab w:val="left" w:pos="567"/>
        </w:tabs>
        <w:autoSpaceDE w:val="0"/>
        <w:autoSpaceDN w:val="0"/>
        <w:adjustRightInd w:val="0"/>
        <w:snapToGrid w:val="0"/>
        <w:spacing w:line="360" w:lineRule="auto"/>
        <w:ind w:firstLineChars="150" w:firstLine="360"/>
        <w:jc w:val="left"/>
        <w:rPr>
          <w:rFonts w:ascii="宋体" w:hAnsi="宋体" w:cs="宋体"/>
          <w:color w:val="000000"/>
          <w:sz w:val="24"/>
          <w:szCs w:val="24"/>
        </w:rPr>
      </w:pPr>
      <w:r>
        <w:rPr>
          <w:rFonts w:ascii="宋体" w:hAnsi="宋体" w:cs="宋体" w:hint="eastAsia"/>
          <w:color w:val="000000"/>
          <w:sz w:val="24"/>
          <w:szCs w:val="24"/>
        </w:rPr>
        <w:t xml:space="preserve"> 具有以下特征缺陷定性为重大缺陷：发现被审计单位管理层存在的任何程度的舞弊；审计委员会和内部审计机构对内部控制的监督无效；被审计单位重述以前公布的财务报表，以更正由于舞弊或错误导致的重大错报的缺陷；外部审计发现当期财务报表存在重大错报，而被审计单位内部控制在运行过程中未能发现该错报的缺陷；其他可能影响报表使用者正确判断的缺陷。</w:t>
      </w:r>
    </w:p>
    <w:p w:rsidR="00B0150F" w:rsidRDefault="008D1746">
      <w:pPr>
        <w:autoSpaceDE w:val="0"/>
        <w:autoSpaceDN w:val="0"/>
        <w:adjustRightInd w:val="0"/>
        <w:snapToGrid w:val="0"/>
        <w:spacing w:line="360" w:lineRule="auto"/>
        <w:textAlignment w:val="baseline"/>
        <w:rPr>
          <w:rFonts w:ascii="宋体" w:hAnsi="宋体" w:cs="宋体"/>
          <w:color w:val="000000"/>
          <w:sz w:val="24"/>
          <w:szCs w:val="24"/>
        </w:rPr>
      </w:pPr>
      <w:r>
        <w:rPr>
          <w:rFonts w:ascii="宋体" w:hAnsi="宋体" w:cs="宋体" w:hint="eastAsia"/>
          <w:color w:val="000000"/>
          <w:sz w:val="24"/>
          <w:szCs w:val="24"/>
        </w:rPr>
        <w:t xml:space="preserve">    </w:t>
      </w:r>
      <w:r>
        <w:rPr>
          <w:rFonts w:ascii="宋体" w:hAnsi="宋体" w:cs="宋体" w:hint="eastAsia"/>
          <w:b/>
          <w:color w:val="000000"/>
          <w:sz w:val="24"/>
          <w:szCs w:val="24"/>
        </w:rPr>
        <w:t>2.非财务报告内部控制缺陷认定标准</w:t>
      </w:r>
    </w:p>
    <w:p w:rsidR="00B0150F" w:rsidRDefault="008D1746">
      <w:pPr>
        <w:autoSpaceDE w:val="0"/>
        <w:autoSpaceDN w:val="0"/>
        <w:adjustRightInd w:val="0"/>
        <w:snapToGrid w:val="0"/>
        <w:spacing w:line="360" w:lineRule="auto"/>
        <w:textAlignment w:val="baseline"/>
        <w:rPr>
          <w:rFonts w:ascii="宋体" w:hAnsi="宋体" w:cs="宋体"/>
          <w:color w:val="000000"/>
          <w:sz w:val="24"/>
          <w:szCs w:val="24"/>
        </w:rPr>
      </w:pPr>
      <w:r>
        <w:rPr>
          <w:rFonts w:ascii="宋体" w:hAnsi="宋体" w:cs="宋体" w:hint="eastAsia"/>
          <w:color w:val="000000"/>
          <w:sz w:val="24"/>
          <w:szCs w:val="24"/>
        </w:rPr>
        <w:t xml:space="preserve">    公司确定的非财务报告内部控制缺陷评价的定量标准如下：</w:t>
      </w:r>
    </w:p>
    <w:tbl>
      <w:tblPr>
        <w:tblW w:w="8364"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261"/>
        <w:gridCol w:w="5103"/>
      </w:tblGrid>
      <w:tr w:rsidR="00094C66" w:rsidTr="003E1763">
        <w:trPr>
          <w:trHeight w:val="511"/>
          <w:jc w:val="center"/>
        </w:trPr>
        <w:tc>
          <w:tcPr>
            <w:tcW w:w="3261" w:type="dxa"/>
            <w:tcBorders>
              <w:top w:val="single" w:sz="4" w:space="0" w:color="auto"/>
              <w:left w:val="single" w:sz="4" w:space="0" w:color="auto"/>
              <w:bottom w:val="single" w:sz="4" w:space="0" w:color="auto"/>
              <w:right w:val="single" w:sz="4" w:space="0" w:color="auto"/>
            </w:tcBorders>
            <w:shd w:val="clear" w:color="auto" w:fill="D9D9D9"/>
            <w:vAlign w:val="center"/>
          </w:tcPr>
          <w:p w:rsidR="00094C66" w:rsidRDefault="00094C66" w:rsidP="003E1763">
            <w:pPr>
              <w:adjustRightInd w:val="0"/>
              <w:snapToGrid w:val="0"/>
              <w:jc w:val="center"/>
              <w:rPr>
                <w:rFonts w:ascii="宋体" w:hAnsi="宋体" w:cs="宋体"/>
                <w:color w:val="000000"/>
                <w:sz w:val="24"/>
              </w:rPr>
            </w:pPr>
            <w:r>
              <w:rPr>
                <w:rFonts w:ascii="宋体" w:hAnsi="宋体" w:cs="宋体" w:hint="eastAsia"/>
                <w:color w:val="000000"/>
                <w:sz w:val="24"/>
              </w:rPr>
              <w:t>缺陷认定等级</w:t>
            </w:r>
          </w:p>
        </w:tc>
        <w:tc>
          <w:tcPr>
            <w:tcW w:w="5103" w:type="dxa"/>
            <w:tcBorders>
              <w:top w:val="single" w:sz="4" w:space="0" w:color="auto"/>
              <w:left w:val="single" w:sz="4" w:space="0" w:color="auto"/>
              <w:bottom w:val="single" w:sz="4" w:space="0" w:color="auto"/>
              <w:right w:val="single" w:sz="4" w:space="0" w:color="auto"/>
            </w:tcBorders>
            <w:shd w:val="clear" w:color="auto" w:fill="D9D9D9"/>
            <w:vAlign w:val="center"/>
          </w:tcPr>
          <w:p w:rsidR="00094C66" w:rsidRDefault="00094C66" w:rsidP="003E1763">
            <w:pPr>
              <w:adjustRightInd w:val="0"/>
              <w:snapToGrid w:val="0"/>
              <w:jc w:val="center"/>
              <w:rPr>
                <w:rFonts w:ascii="宋体" w:hAnsi="宋体" w:cs="宋体"/>
                <w:color w:val="000000"/>
                <w:sz w:val="24"/>
              </w:rPr>
            </w:pPr>
            <w:r>
              <w:rPr>
                <w:rFonts w:ascii="宋体" w:hAnsi="宋体" w:cs="宋体" w:hint="eastAsia"/>
                <w:color w:val="000000"/>
                <w:sz w:val="24"/>
              </w:rPr>
              <w:t>直接财产损失金额</w:t>
            </w:r>
          </w:p>
        </w:tc>
      </w:tr>
      <w:tr w:rsidR="00094C66" w:rsidTr="003E1763">
        <w:trPr>
          <w:trHeight w:val="404"/>
          <w:jc w:val="center"/>
        </w:trPr>
        <w:tc>
          <w:tcPr>
            <w:tcW w:w="3261" w:type="dxa"/>
            <w:tcBorders>
              <w:top w:val="single" w:sz="4" w:space="0" w:color="auto"/>
              <w:left w:val="single" w:sz="4" w:space="0" w:color="auto"/>
              <w:bottom w:val="single" w:sz="4" w:space="0" w:color="auto"/>
              <w:right w:val="single" w:sz="4" w:space="0" w:color="auto"/>
            </w:tcBorders>
            <w:vAlign w:val="center"/>
          </w:tcPr>
          <w:p w:rsidR="00094C66" w:rsidRDefault="00094C66" w:rsidP="003E1763">
            <w:pPr>
              <w:adjustRightInd w:val="0"/>
              <w:snapToGrid w:val="0"/>
              <w:jc w:val="center"/>
              <w:rPr>
                <w:rFonts w:ascii="宋体" w:hAnsi="宋体" w:cs="宋体"/>
                <w:color w:val="000000"/>
                <w:sz w:val="24"/>
              </w:rPr>
            </w:pPr>
            <w:r>
              <w:rPr>
                <w:rFonts w:ascii="宋体" w:hAnsi="宋体" w:cs="宋体" w:hint="eastAsia"/>
                <w:color w:val="000000"/>
                <w:sz w:val="24"/>
              </w:rPr>
              <w:t>一般缺陷</w:t>
            </w:r>
          </w:p>
        </w:tc>
        <w:tc>
          <w:tcPr>
            <w:tcW w:w="5103" w:type="dxa"/>
            <w:tcBorders>
              <w:top w:val="single" w:sz="4" w:space="0" w:color="auto"/>
              <w:left w:val="single" w:sz="4" w:space="0" w:color="auto"/>
              <w:bottom w:val="single" w:sz="4" w:space="0" w:color="auto"/>
              <w:right w:val="single" w:sz="4" w:space="0" w:color="auto"/>
            </w:tcBorders>
            <w:vAlign w:val="center"/>
          </w:tcPr>
          <w:p w:rsidR="00094C66" w:rsidRDefault="00094C66" w:rsidP="003E1763">
            <w:pPr>
              <w:adjustRightInd w:val="0"/>
              <w:snapToGrid w:val="0"/>
              <w:jc w:val="center"/>
              <w:rPr>
                <w:rFonts w:ascii="宋体" w:hAnsi="宋体" w:cs="宋体"/>
                <w:color w:val="000000"/>
                <w:sz w:val="24"/>
              </w:rPr>
            </w:pPr>
            <w:r>
              <w:rPr>
                <w:rFonts w:ascii="宋体" w:hAnsi="宋体" w:cs="宋体" w:hint="eastAsia"/>
                <w:color w:val="000000"/>
                <w:sz w:val="24"/>
              </w:rPr>
              <w:t>50万元(含50万元)--1000万元</w:t>
            </w:r>
          </w:p>
        </w:tc>
      </w:tr>
      <w:tr w:rsidR="00094C66" w:rsidTr="003E1763">
        <w:trPr>
          <w:trHeight w:val="425"/>
          <w:jc w:val="center"/>
        </w:trPr>
        <w:tc>
          <w:tcPr>
            <w:tcW w:w="3261" w:type="dxa"/>
            <w:tcBorders>
              <w:top w:val="single" w:sz="4" w:space="0" w:color="auto"/>
              <w:left w:val="single" w:sz="4" w:space="0" w:color="auto"/>
              <w:bottom w:val="single" w:sz="4" w:space="0" w:color="auto"/>
              <w:right w:val="single" w:sz="4" w:space="0" w:color="auto"/>
            </w:tcBorders>
            <w:vAlign w:val="center"/>
          </w:tcPr>
          <w:p w:rsidR="00094C66" w:rsidRDefault="00094C66" w:rsidP="003E1763">
            <w:pPr>
              <w:adjustRightInd w:val="0"/>
              <w:snapToGrid w:val="0"/>
              <w:jc w:val="center"/>
              <w:rPr>
                <w:rFonts w:ascii="宋体" w:hAnsi="宋体" w:cs="宋体"/>
                <w:color w:val="000000"/>
                <w:sz w:val="24"/>
              </w:rPr>
            </w:pPr>
            <w:r>
              <w:rPr>
                <w:rFonts w:ascii="宋体" w:hAnsi="宋体" w:cs="宋体" w:hint="eastAsia"/>
                <w:color w:val="000000"/>
                <w:sz w:val="24"/>
              </w:rPr>
              <w:t>重要缺陷</w:t>
            </w:r>
          </w:p>
        </w:tc>
        <w:tc>
          <w:tcPr>
            <w:tcW w:w="5103" w:type="dxa"/>
            <w:tcBorders>
              <w:top w:val="single" w:sz="4" w:space="0" w:color="auto"/>
              <w:left w:val="single" w:sz="4" w:space="0" w:color="auto"/>
              <w:bottom w:val="single" w:sz="4" w:space="0" w:color="auto"/>
              <w:right w:val="single" w:sz="4" w:space="0" w:color="auto"/>
            </w:tcBorders>
            <w:vAlign w:val="center"/>
          </w:tcPr>
          <w:p w:rsidR="00094C66" w:rsidRDefault="00094C66" w:rsidP="003E1763">
            <w:pPr>
              <w:adjustRightInd w:val="0"/>
              <w:snapToGrid w:val="0"/>
              <w:jc w:val="center"/>
              <w:rPr>
                <w:rFonts w:ascii="宋体" w:hAnsi="宋体" w:cs="宋体"/>
                <w:color w:val="000000"/>
                <w:sz w:val="24"/>
              </w:rPr>
            </w:pPr>
            <w:r>
              <w:rPr>
                <w:rFonts w:ascii="宋体" w:hAnsi="宋体" w:cs="宋体" w:hint="eastAsia"/>
                <w:color w:val="000000"/>
                <w:sz w:val="24"/>
              </w:rPr>
              <w:t>1000万元（含1000万元）--2000万元</w:t>
            </w:r>
          </w:p>
        </w:tc>
      </w:tr>
      <w:tr w:rsidR="00094C66" w:rsidTr="003E1763">
        <w:trPr>
          <w:trHeight w:val="417"/>
          <w:jc w:val="center"/>
        </w:trPr>
        <w:tc>
          <w:tcPr>
            <w:tcW w:w="3261" w:type="dxa"/>
            <w:tcBorders>
              <w:top w:val="single" w:sz="4" w:space="0" w:color="auto"/>
              <w:left w:val="single" w:sz="4" w:space="0" w:color="auto"/>
              <w:bottom w:val="single" w:sz="4" w:space="0" w:color="auto"/>
              <w:right w:val="single" w:sz="4" w:space="0" w:color="auto"/>
            </w:tcBorders>
            <w:vAlign w:val="center"/>
          </w:tcPr>
          <w:p w:rsidR="00094C66" w:rsidRDefault="00094C66" w:rsidP="003E1763">
            <w:pPr>
              <w:adjustRightInd w:val="0"/>
              <w:snapToGrid w:val="0"/>
              <w:jc w:val="center"/>
              <w:rPr>
                <w:rFonts w:ascii="宋体" w:hAnsi="宋体" w:cs="宋体"/>
                <w:color w:val="000000"/>
                <w:sz w:val="24"/>
              </w:rPr>
            </w:pPr>
            <w:r>
              <w:rPr>
                <w:rFonts w:ascii="宋体" w:hAnsi="宋体" w:cs="宋体" w:hint="eastAsia"/>
                <w:color w:val="000000"/>
                <w:sz w:val="24"/>
              </w:rPr>
              <w:t>重大缺陷</w:t>
            </w:r>
          </w:p>
        </w:tc>
        <w:tc>
          <w:tcPr>
            <w:tcW w:w="5103" w:type="dxa"/>
            <w:tcBorders>
              <w:top w:val="single" w:sz="4" w:space="0" w:color="auto"/>
              <w:left w:val="single" w:sz="4" w:space="0" w:color="auto"/>
              <w:bottom w:val="single" w:sz="4" w:space="0" w:color="auto"/>
              <w:right w:val="single" w:sz="4" w:space="0" w:color="auto"/>
            </w:tcBorders>
            <w:vAlign w:val="center"/>
          </w:tcPr>
          <w:p w:rsidR="00094C66" w:rsidRDefault="00094C66" w:rsidP="003E1763">
            <w:pPr>
              <w:adjustRightInd w:val="0"/>
              <w:snapToGrid w:val="0"/>
              <w:jc w:val="center"/>
              <w:rPr>
                <w:rFonts w:ascii="宋体" w:hAnsi="宋体" w:cs="宋体"/>
                <w:color w:val="000000"/>
                <w:sz w:val="24"/>
              </w:rPr>
            </w:pPr>
            <w:r>
              <w:rPr>
                <w:rFonts w:ascii="宋体" w:hAnsi="宋体" w:cs="宋体" w:hint="eastAsia"/>
                <w:color w:val="000000"/>
                <w:sz w:val="24"/>
              </w:rPr>
              <w:t>2000万元及以上</w:t>
            </w:r>
          </w:p>
        </w:tc>
      </w:tr>
    </w:tbl>
    <w:p w:rsidR="00B0150F" w:rsidRDefault="008D1746">
      <w:pPr>
        <w:autoSpaceDE w:val="0"/>
        <w:autoSpaceDN w:val="0"/>
        <w:adjustRightInd w:val="0"/>
        <w:snapToGrid w:val="0"/>
        <w:spacing w:line="360" w:lineRule="auto"/>
        <w:textAlignment w:val="baseline"/>
        <w:rPr>
          <w:rFonts w:ascii="宋体" w:hAnsi="宋体" w:cs="宋体"/>
          <w:color w:val="000000"/>
          <w:sz w:val="24"/>
          <w:szCs w:val="24"/>
        </w:rPr>
      </w:pPr>
      <w:r>
        <w:rPr>
          <w:rFonts w:ascii="宋体" w:hAnsi="宋体" w:cs="宋体" w:hint="eastAsia"/>
          <w:color w:val="000000"/>
          <w:sz w:val="24"/>
          <w:szCs w:val="24"/>
        </w:rPr>
        <w:t xml:space="preserve">    公司确定的非财务报告内部控制缺陷评价的定性标准如下：</w:t>
      </w:r>
    </w:p>
    <w:p w:rsidR="00B0150F" w:rsidRDefault="008D1746">
      <w:pPr>
        <w:adjustRightInd w:val="0"/>
        <w:snapToGrid w:val="0"/>
        <w:spacing w:line="360" w:lineRule="auto"/>
        <w:ind w:firstLineChars="150" w:firstLine="360"/>
        <w:rPr>
          <w:rFonts w:ascii="宋体" w:hAnsi="宋体" w:cs="宋体"/>
          <w:color w:val="000000"/>
          <w:sz w:val="24"/>
          <w:szCs w:val="24"/>
        </w:rPr>
      </w:pPr>
      <w:r>
        <w:rPr>
          <w:rFonts w:ascii="宋体" w:hAnsi="宋体" w:cs="宋体" w:hint="eastAsia"/>
          <w:color w:val="000000"/>
          <w:sz w:val="24"/>
          <w:szCs w:val="24"/>
        </w:rPr>
        <w:t xml:space="preserve"> 一般缺陷：在控制活动过程中未严格按照内部控制制度要求执行；负面影响受到省级（含省级）以下政府部门处罚但未对本公司定期报告披露造成负面影响。</w:t>
      </w:r>
    </w:p>
    <w:p w:rsidR="00B0150F" w:rsidRDefault="008D1746">
      <w:pPr>
        <w:adjustRightInd w:val="0"/>
        <w:snapToGrid w:val="0"/>
        <w:spacing w:line="360" w:lineRule="auto"/>
        <w:ind w:firstLineChars="200" w:firstLine="480"/>
        <w:rPr>
          <w:rFonts w:ascii="宋体" w:hAnsi="宋体" w:cs="宋体"/>
          <w:color w:val="000000"/>
          <w:sz w:val="24"/>
          <w:szCs w:val="24"/>
        </w:rPr>
      </w:pPr>
      <w:r>
        <w:rPr>
          <w:rFonts w:ascii="宋体" w:hAnsi="宋体" w:cs="宋体" w:hint="eastAsia"/>
          <w:color w:val="000000"/>
          <w:sz w:val="24"/>
          <w:szCs w:val="24"/>
        </w:rPr>
        <w:t>重要缺陷：负面影响受到国家政府部门处罚但未对本公司定期报告披露造成负面影响。</w:t>
      </w:r>
    </w:p>
    <w:p w:rsidR="00B0150F" w:rsidRDefault="008D1746">
      <w:pPr>
        <w:adjustRightInd w:val="0"/>
        <w:snapToGrid w:val="0"/>
        <w:spacing w:line="360" w:lineRule="auto"/>
        <w:ind w:firstLineChars="200" w:firstLine="480"/>
        <w:rPr>
          <w:rFonts w:ascii="宋体" w:hAnsi="宋体" w:cs="宋体"/>
          <w:color w:val="000000"/>
          <w:sz w:val="24"/>
          <w:szCs w:val="24"/>
        </w:rPr>
      </w:pPr>
      <w:r>
        <w:rPr>
          <w:rFonts w:ascii="宋体" w:hAnsi="宋体" w:cs="宋体" w:hint="eastAsia"/>
          <w:color w:val="000000"/>
          <w:sz w:val="24"/>
          <w:szCs w:val="24"/>
        </w:rPr>
        <w:t>重大缺陷：负面影响对外正式披露并对本公司定期报告披露造成负面影响。</w:t>
      </w:r>
    </w:p>
    <w:p w:rsidR="00B0150F" w:rsidRDefault="008D1746">
      <w:pPr>
        <w:adjustRightInd w:val="0"/>
        <w:snapToGrid w:val="0"/>
        <w:spacing w:line="360" w:lineRule="auto"/>
        <w:ind w:firstLineChars="200" w:firstLine="480"/>
        <w:rPr>
          <w:rFonts w:ascii="宋体" w:hAnsi="宋体" w:cs="宋体"/>
          <w:color w:val="000000"/>
          <w:sz w:val="24"/>
          <w:szCs w:val="24"/>
        </w:rPr>
      </w:pPr>
      <w:r>
        <w:rPr>
          <w:rFonts w:ascii="宋体" w:hAnsi="宋体" w:cs="宋体" w:hint="eastAsia"/>
          <w:color w:val="000000"/>
          <w:sz w:val="24"/>
          <w:szCs w:val="24"/>
        </w:rPr>
        <w:t>有以下情况的直接视为非财务报告内部控制可能存在重大缺陷：（1）违反法律、法规较严重；（2）除政策性亏损原因外，企业连年亏损，持续经营受到挑战；（3）重要业务缺乏制度控制或制度系统性失效；（4）并购重组失败，或新扩充下属单位经营难以为继；（5）子公司缺乏内部控制建设，管理散乱；（6）企业管理层人员纷纷离开或关键岗位人员流失严重；（7）被媒体频频曝光负面新闻；（8）内部控制的结果特别是重大或重要缺陷未得到整改。</w:t>
      </w:r>
    </w:p>
    <w:p w:rsidR="00B0150F" w:rsidRDefault="008D1746">
      <w:pPr>
        <w:autoSpaceDE w:val="0"/>
        <w:autoSpaceDN w:val="0"/>
        <w:adjustRightInd w:val="0"/>
        <w:snapToGrid w:val="0"/>
        <w:spacing w:line="360" w:lineRule="auto"/>
        <w:textAlignment w:val="baseline"/>
        <w:rPr>
          <w:rFonts w:ascii="宋体" w:hAnsi="宋体" w:cs="宋体"/>
          <w:b/>
          <w:color w:val="000000"/>
          <w:sz w:val="24"/>
          <w:szCs w:val="24"/>
        </w:rPr>
      </w:pPr>
      <w:r>
        <w:rPr>
          <w:rFonts w:ascii="宋体" w:hAnsi="宋体" w:cs="宋体" w:hint="eastAsia"/>
          <w:color w:val="000000"/>
          <w:sz w:val="24"/>
          <w:szCs w:val="24"/>
        </w:rPr>
        <w:t xml:space="preserve">   </w:t>
      </w:r>
      <w:r>
        <w:rPr>
          <w:rFonts w:ascii="楷体" w:eastAsia="楷体" w:hAnsi="楷体" w:cs="楷体" w:hint="eastAsia"/>
          <w:b/>
          <w:color w:val="000000"/>
          <w:sz w:val="24"/>
          <w:szCs w:val="24"/>
        </w:rPr>
        <w:t>（三）内部控制缺陷认定及整改情况</w:t>
      </w:r>
    </w:p>
    <w:p w:rsidR="00B0150F" w:rsidRDefault="008D1746">
      <w:pPr>
        <w:autoSpaceDE w:val="0"/>
        <w:autoSpaceDN w:val="0"/>
        <w:adjustRightInd w:val="0"/>
        <w:snapToGrid w:val="0"/>
        <w:spacing w:line="360" w:lineRule="auto"/>
        <w:textAlignment w:val="baseline"/>
        <w:rPr>
          <w:rFonts w:ascii="宋体" w:hAnsi="宋体" w:cs="宋体"/>
          <w:b/>
          <w:color w:val="000000"/>
          <w:sz w:val="24"/>
          <w:szCs w:val="24"/>
        </w:rPr>
      </w:pPr>
      <w:r>
        <w:rPr>
          <w:rFonts w:ascii="宋体" w:hAnsi="宋体" w:cs="宋体" w:hint="eastAsia"/>
          <w:b/>
          <w:color w:val="000000"/>
          <w:sz w:val="24"/>
          <w:szCs w:val="24"/>
        </w:rPr>
        <w:t xml:space="preserve">    1.财务报告内部控制缺陷认定及拟采取的整改情况</w:t>
      </w:r>
    </w:p>
    <w:p w:rsidR="00B0150F" w:rsidRDefault="008D1746">
      <w:pPr>
        <w:autoSpaceDE w:val="0"/>
        <w:autoSpaceDN w:val="0"/>
        <w:adjustRightInd w:val="0"/>
        <w:snapToGrid w:val="0"/>
        <w:spacing w:line="360" w:lineRule="auto"/>
        <w:ind w:firstLineChars="200" w:firstLine="480"/>
        <w:textAlignment w:val="baseline"/>
        <w:rPr>
          <w:rFonts w:ascii="宋体" w:hAnsi="宋体" w:cs="宋体"/>
          <w:color w:val="000000"/>
          <w:sz w:val="24"/>
          <w:szCs w:val="24"/>
        </w:rPr>
      </w:pPr>
      <w:r>
        <w:rPr>
          <w:rFonts w:ascii="宋体" w:hAnsi="宋体" w:cs="宋体" w:hint="eastAsia"/>
          <w:color w:val="000000"/>
          <w:sz w:val="24"/>
          <w:szCs w:val="24"/>
        </w:rPr>
        <w:t>根据上述财务报告内部控制缺陷的认定标准，报告期内公司不存在财务报告内部控制重大缺陷、重要缺陷和一般缺陷。</w:t>
      </w:r>
    </w:p>
    <w:p w:rsidR="00B0150F" w:rsidRDefault="008D1746">
      <w:pPr>
        <w:autoSpaceDE w:val="0"/>
        <w:autoSpaceDN w:val="0"/>
        <w:adjustRightInd w:val="0"/>
        <w:snapToGrid w:val="0"/>
        <w:spacing w:line="360" w:lineRule="auto"/>
        <w:textAlignment w:val="baseline"/>
        <w:rPr>
          <w:rFonts w:ascii="宋体" w:hAnsi="宋体" w:cs="宋体"/>
          <w:b/>
          <w:color w:val="000000"/>
          <w:sz w:val="24"/>
          <w:szCs w:val="24"/>
        </w:rPr>
      </w:pPr>
      <w:r>
        <w:rPr>
          <w:rFonts w:ascii="宋体" w:hAnsi="宋体" w:cs="宋体" w:hint="eastAsia"/>
          <w:b/>
          <w:color w:val="000000"/>
          <w:sz w:val="24"/>
          <w:szCs w:val="24"/>
        </w:rPr>
        <w:t xml:space="preserve">    2.非财务报告内部控制缺陷认定及拟采取的整改措施</w:t>
      </w:r>
    </w:p>
    <w:p w:rsidR="00B0150F" w:rsidRDefault="008D1746">
      <w:pPr>
        <w:adjustRightInd w:val="0"/>
        <w:snapToGrid w:val="0"/>
        <w:spacing w:line="360" w:lineRule="auto"/>
        <w:ind w:firstLineChars="200" w:firstLine="480"/>
        <w:rPr>
          <w:rFonts w:ascii="宋体" w:hAnsi="宋体" w:cs="宋体"/>
          <w:sz w:val="24"/>
          <w:szCs w:val="24"/>
        </w:rPr>
      </w:pPr>
      <w:r>
        <w:rPr>
          <w:rFonts w:ascii="宋体" w:hAnsi="宋体" w:cs="宋体" w:hint="eastAsia"/>
          <w:sz w:val="24"/>
          <w:szCs w:val="24"/>
        </w:rPr>
        <w:lastRenderedPageBreak/>
        <w:t>根据上述非财务报告内部控制缺陷的认定标准，报告期内公司不存在非财务报告内部控制重大缺陷、重要缺陷。存在一般缺陷1个。</w:t>
      </w:r>
    </w:p>
    <w:p w:rsidR="00B0150F" w:rsidRDefault="008D1746">
      <w:pPr>
        <w:adjustRightInd w:val="0"/>
        <w:snapToGrid w:val="0"/>
        <w:spacing w:line="360" w:lineRule="auto"/>
        <w:ind w:firstLineChars="200" w:firstLine="480"/>
        <w:rPr>
          <w:rFonts w:ascii="宋体" w:hAnsi="宋体" w:cs="宋体"/>
          <w:sz w:val="24"/>
          <w:szCs w:val="24"/>
        </w:rPr>
      </w:pPr>
      <w:r>
        <w:rPr>
          <w:rFonts w:ascii="宋体" w:hAnsi="宋体" w:cs="宋体" w:hint="eastAsia"/>
          <w:sz w:val="24"/>
          <w:szCs w:val="24"/>
        </w:rPr>
        <w:t>针对报告期内发现的内部控制缺陷，公司采取了相应的整改措施，并将按计划加以实施。主要为：对于</w:t>
      </w:r>
      <w:r w:rsidR="00CE36FC">
        <w:rPr>
          <w:rFonts w:ascii="宋体" w:hAnsi="宋体" w:cs="宋体" w:hint="eastAsia"/>
          <w:sz w:val="24"/>
          <w:szCs w:val="24"/>
        </w:rPr>
        <w:t>“执行”</w:t>
      </w:r>
      <w:r>
        <w:rPr>
          <w:rFonts w:ascii="宋体" w:hAnsi="宋体" w:cs="宋体" w:hint="eastAsia"/>
          <w:sz w:val="24"/>
          <w:szCs w:val="24"/>
        </w:rPr>
        <w:t>存在问题的流程，公司将委派审计法务部跟踪业务责任部门进行整改落实。</w:t>
      </w:r>
    </w:p>
    <w:p w:rsidR="00B0150F" w:rsidRDefault="008D1746">
      <w:pPr>
        <w:autoSpaceDE w:val="0"/>
        <w:autoSpaceDN w:val="0"/>
        <w:adjustRightInd w:val="0"/>
        <w:snapToGrid w:val="0"/>
        <w:spacing w:line="360" w:lineRule="auto"/>
        <w:ind w:firstLine="600"/>
        <w:textAlignment w:val="baseline"/>
        <w:rPr>
          <w:rFonts w:ascii="楷体" w:eastAsia="楷体" w:hAnsi="楷体" w:cs="楷体"/>
          <w:b/>
          <w:color w:val="000000"/>
          <w:sz w:val="24"/>
          <w:szCs w:val="24"/>
        </w:rPr>
      </w:pPr>
      <w:r>
        <w:rPr>
          <w:rFonts w:ascii="楷体" w:eastAsia="楷体" w:hAnsi="楷体" w:cs="楷体" w:hint="eastAsia"/>
          <w:b/>
          <w:color w:val="000000"/>
          <w:sz w:val="24"/>
          <w:szCs w:val="24"/>
        </w:rPr>
        <w:t>（四）上年度内部控制缺陷整改情况</w:t>
      </w:r>
    </w:p>
    <w:p w:rsidR="00B0150F" w:rsidRDefault="008D1746">
      <w:pPr>
        <w:autoSpaceDE w:val="0"/>
        <w:autoSpaceDN w:val="0"/>
        <w:adjustRightInd w:val="0"/>
        <w:snapToGrid w:val="0"/>
        <w:spacing w:line="360" w:lineRule="auto"/>
        <w:ind w:firstLineChars="200" w:firstLine="480"/>
        <w:textAlignment w:val="baseline"/>
        <w:rPr>
          <w:rFonts w:ascii="宋体" w:hAnsi="宋体" w:cs="宋体"/>
          <w:sz w:val="24"/>
          <w:szCs w:val="24"/>
        </w:rPr>
      </w:pPr>
      <w:r>
        <w:rPr>
          <w:rFonts w:ascii="宋体" w:hAnsi="宋体" w:cs="宋体" w:hint="eastAsia"/>
          <w:sz w:val="24"/>
          <w:szCs w:val="24"/>
        </w:rPr>
        <w:t>对于上年度发现的内部控制缺陷，审计法务部对业务责任部门的整改情况进行跟踪，从抽查情况来看，已整改。</w:t>
      </w:r>
    </w:p>
    <w:p w:rsidR="00B0150F" w:rsidRDefault="008D1746">
      <w:pPr>
        <w:autoSpaceDE w:val="0"/>
        <w:autoSpaceDN w:val="0"/>
        <w:adjustRightInd w:val="0"/>
        <w:snapToGrid w:val="0"/>
        <w:spacing w:line="360" w:lineRule="auto"/>
        <w:ind w:firstLineChars="200" w:firstLine="480"/>
        <w:textAlignment w:val="baseline"/>
        <w:rPr>
          <w:rFonts w:ascii="宋体" w:hAnsi="宋体" w:cs="宋体"/>
          <w:sz w:val="24"/>
          <w:szCs w:val="24"/>
        </w:rPr>
      </w:pPr>
      <w:r>
        <w:rPr>
          <w:rFonts w:ascii="宋体" w:hAnsi="宋体" w:cs="宋体" w:hint="eastAsia"/>
          <w:color w:val="000000"/>
          <w:sz w:val="24"/>
          <w:szCs w:val="24"/>
        </w:rPr>
        <w:t xml:space="preserve"> </w:t>
      </w:r>
      <w:r>
        <w:rPr>
          <w:rFonts w:ascii="黑体" w:eastAsia="黑体" w:hAnsi="黑体" w:cs="黑体" w:hint="eastAsia"/>
          <w:color w:val="000000"/>
          <w:sz w:val="24"/>
          <w:szCs w:val="24"/>
        </w:rPr>
        <w:t>四、其他内部控制相关重大事项说明</w:t>
      </w:r>
    </w:p>
    <w:p w:rsidR="00B0150F" w:rsidRDefault="008D1746">
      <w:pPr>
        <w:adjustRightInd w:val="0"/>
        <w:snapToGrid w:val="0"/>
        <w:spacing w:line="360" w:lineRule="auto"/>
        <w:ind w:firstLineChars="200" w:firstLine="480"/>
        <w:rPr>
          <w:rFonts w:asciiTheme="minorEastAsia" w:eastAsiaTheme="minorEastAsia" w:hAnsiTheme="minorEastAsia"/>
          <w:color w:val="000000"/>
          <w:sz w:val="24"/>
          <w:szCs w:val="24"/>
        </w:rPr>
      </w:pPr>
      <w:r>
        <w:rPr>
          <w:rFonts w:ascii="宋体" w:hAnsi="宋体" w:cs="宋体" w:hint="eastAsia"/>
          <w:color w:val="000000"/>
          <w:sz w:val="24"/>
          <w:szCs w:val="24"/>
        </w:rPr>
        <w:t>报告期内，公司不存在其他可能对投资者理解内部控制自我评价报告、评价内部控制情况或进行投资决策产生重大影响的其他内部控制信息。</w:t>
      </w:r>
    </w:p>
    <w:p w:rsidR="00B0150F" w:rsidRDefault="00B0150F">
      <w:pPr>
        <w:autoSpaceDE w:val="0"/>
        <w:autoSpaceDN w:val="0"/>
        <w:adjustRightInd w:val="0"/>
        <w:snapToGrid w:val="0"/>
        <w:spacing w:line="360" w:lineRule="auto"/>
        <w:textAlignment w:val="baseline"/>
        <w:rPr>
          <w:rFonts w:asciiTheme="minorEastAsia" w:eastAsiaTheme="minorEastAsia" w:hAnsiTheme="minorEastAsia"/>
          <w:color w:val="000000"/>
          <w:sz w:val="24"/>
          <w:szCs w:val="24"/>
        </w:rPr>
      </w:pPr>
    </w:p>
    <w:p w:rsidR="00B0150F" w:rsidRDefault="00B0150F">
      <w:pPr>
        <w:autoSpaceDE w:val="0"/>
        <w:autoSpaceDN w:val="0"/>
        <w:adjustRightInd w:val="0"/>
        <w:snapToGrid w:val="0"/>
        <w:spacing w:line="360" w:lineRule="auto"/>
        <w:textAlignment w:val="baseline"/>
        <w:rPr>
          <w:rFonts w:asciiTheme="minorEastAsia" w:eastAsiaTheme="minorEastAsia" w:hAnsiTheme="minorEastAsia"/>
          <w:color w:val="000000"/>
          <w:sz w:val="24"/>
          <w:szCs w:val="24"/>
        </w:rPr>
      </w:pPr>
    </w:p>
    <w:p w:rsidR="00B0150F" w:rsidRDefault="00B0150F">
      <w:pPr>
        <w:autoSpaceDE w:val="0"/>
        <w:autoSpaceDN w:val="0"/>
        <w:adjustRightInd w:val="0"/>
        <w:snapToGrid w:val="0"/>
        <w:spacing w:line="360" w:lineRule="auto"/>
        <w:textAlignment w:val="baseline"/>
        <w:rPr>
          <w:rFonts w:asciiTheme="minorEastAsia" w:eastAsiaTheme="minorEastAsia" w:hAnsiTheme="minorEastAsia"/>
          <w:color w:val="000000"/>
          <w:sz w:val="24"/>
          <w:szCs w:val="24"/>
        </w:rPr>
      </w:pPr>
    </w:p>
    <w:p w:rsidR="00B0150F" w:rsidRDefault="008D1746">
      <w:pPr>
        <w:autoSpaceDE w:val="0"/>
        <w:autoSpaceDN w:val="0"/>
        <w:adjustRightInd w:val="0"/>
        <w:snapToGrid w:val="0"/>
        <w:spacing w:line="360" w:lineRule="auto"/>
        <w:jc w:val="left"/>
        <w:textAlignment w:val="baseline"/>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 xml:space="preserve">                                   </w:t>
      </w:r>
      <w:r>
        <w:rPr>
          <w:rFonts w:asciiTheme="minorEastAsia" w:eastAsiaTheme="minorEastAsia" w:hAnsiTheme="minorEastAsia"/>
          <w:color w:val="000000"/>
          <w:sz w:val="24"/>
          <w:szCs w:val="24"/>
        </w:rPr>
        <w:t>中百控股集团股份有限公司董事会</w:t>
      </w:r>
    </w:p>
    <w:p w:rsidR="00B0150F" w:rsidRDefault="008D1746">
      <w:pPr>
        <w:autoSpaceDE w:val="0"/>
        <w:autoSpaceDN w:val="0"/>
        <w:adjustRightInd w:val="0"/>
        <w:snapToGrid w:val="0"/>
        <w:spacing w:line="360" w:lineRule="auto"/>
        <w:jc w:val="left"/>
        <w:textAlignment w:val="baseline"/>
        <w:rPr>
          <w:rFonts w:asciiTheme="minorEastAsia" w:eastAsiaTheme="minorEastAsia" w:hAnsiTheme="minorEastAsia"/>
          <w:sz w:val="24"/>
          <w:szCs w:val="24"/>
        </w:rPr>
      </w:pPr>
      <w:r>
        <w:rPr>
          <w:rFonts w:asciiTheme="minorEastAsia" w:eastAsiaTheme="minorEastAsia" w:hAnsiTheme="minorEastAsia" w:hint="eastAsia"/>
          <w:color w:val="000000"/>
          <w:sz w:val="24"/>
          <w:szCs w:val="24"/>
        </w:rPr>
        <w:t xml:space="preserve">                                    </w:t>
      </w:r>
      <w:r>
        <w:rPr>
          <w:rFonts w:asciiTheme="minorEastAsia" w:eastAsiaTheme="minorEastAsia" w:hAnsiTheme="minorEastAsia" w:hint="eastAsia"/>
          <w:sz w:val="24"/>
          <w:szCs w:val="24"/>
        </w:rPr>
        <w:t xml:space="preserve">        董事长：李军</w:t>
      </w:r>
    </w:p>
    <w:p w:rsidR="00B0150F" w:rsidRDefault="008D1746">
      <w:pPr>
        <w:adjustRightInd w:val="0"/>
        <w:snapToGrid w:val="0"/>
        <w:spacing w:line="360" w:lineRule="auto"/>
        <w:ind w:right="1380"/>
        <w:jc w:val="right"/>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rPr>
        <w:t>2022年3月26</w:t>
      </w:r>
      <w:bookmarkStart w:id="0" w:name="_GoBack"/>
      <w:bookmarkEnd w:id="0"/>
      <w:r>
        <w:rPr>
          <w:rFonts w:asciiTheme="minorEastAsia" w:eastAsiaTheme="minorEastAsia" w:hAnsiTheme="minorEastAsia" w:hint="eastAsia"/>
          <w:color w:val="000000" w:themeColor="text1"/>
          <w:sz w:val="24"/>
          <w:szCs w:val="24"/>
        </w:rPr>
        <w:t>日</w:t>
      </w:r>
    </w:p>
    <w:sectPr w:rsidR="00B0150F" w:rsidSect="00B0150F">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362E6" w:rsidRDefault="009362E6" w:rsidP="003254F8">
      <w:r>
        <w:separator/>
      </w:r>
    </w:p>
  </w:endnote>
  <w:endnote w:type="continuationSeparator" w:id="0">
    <w:p w:rsidR="009362E6" w:rsidRDefault="009362E6" w:rsidP="003254F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书宋简体">
    <w:altName w:val="宋体"/>
    <w:charset w:val="86"/>
    <w:family w:val="auto"/>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华文仿宋">
    <w:altName w:val="微软雅黑"/>
    <w:charset w:val="86"/>
    <w:family w:val="auto"/>
    <w:pitch w:val="default"/>
    <w:sig w:usb0="00000000" w:usb1="00000000" w:usb2="00000010" w:usb3="00000000" w:csb0="0004009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23659344"/>
      <w:docPartObj>
        <w:docPartGallery w:val="Page Numbers (Bottom of Page)"/>
        <w:docPartUnique/>
      </w:docPartObj>
    </w:sdtPr>
    <w:sdtContent>
      <w:p w:rsidR="003254F8" w:rsidRDefault="0011611E">
        <w:pPr>
          <w:pStyle w:val="a7"/>
          <w:jc w:val="center"/>
        </w:pPr>
        <w:fldSimple w:instr=" PAGE   \* MERGEFORMAT ">
          <w:r w:rsidR="00094C66" w:rsidRPr="00094C66">
            <w:rPr>
              <w:noProof/>
              <w:lang w:val="zh-CN"/>
            </w:rPr>
            <w:t>4</w:t>
          </w:r>
        </w:fldSimple>
      </w:p>
    </w:sdtContent>
  </w:sdt>
  <w:p w:rsidR="003254F8" w:rsidRDefault="003254F8">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362E6" w:rsidRDefault="009362E6" w:rsidP="003254F8">
      <w:r>
        <w:separator/>
      </w:r>
    </w:p>
  </w:footnote>
  <w:footnote w:type="continuationSeparator" w:id="0">
    <w:p w:rsidR="009362E6" w:rsidRDefault="009362E6" w:rsidP="003254F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3627AC9"/>
    <w:multiLevelType w:val="multilevel"/>
    <w:tmpl w:val="63627AC9"/>
    <w:lvl w:ilvl="0">
      <w:start w:val="1"/>
      <w:numFmt w:val="decimal"/>
      <w:lvlText w:val="%1."/>
      <w:lvlJc w:val="left"/>
      <w:pPr>
        <w:ind w:left="960" w:hanging="360"/>
      </w:pPr>
      <w:rPr>
        <w:rFonts w:hint="default"/>
      </w:rPr>
    </w:lvl>
    <w:lvl w:ilvl="1">
      <w:start w:val="1"/>
      <w:numFmt w:val="lowerLetter"/>
      <w:lvlText w:val="%2)"/>
      <w:lvlJc w:val="left"/>
      <w:pPr>
        <w:ind w:left="1440" w:hanging="420"/>
      </w:pPr>
    </w:lvl>
    <w:lvl w:ilvl="2">
      <w:start w:val="1"/>
      <w:numFmt w:val="lowerRoman"/>
      <w:lvlText w:val="%3."/>
      <w:lvlJc w:val="right"/>
      <w:pPr>
        <w:ind w:left="1860" w:hanging="420"/>
      </w:pPr>
    </w:lvl>
    <w:lvl w:ilvl="3">
      <w:start w:val="1"/>
      <w:numFmt w:val="decimal"/>
      <w:lvlText w:val="%4."/>
      <w:lvlJc w:val="left"/>
      <w:pPr>
        <w:ind w:left="2280" w:hanging="420"/>
      </w:pPr>
    </w:lvl>
    <w:lvl w:ilvl="4">
      <w:start w:val="1"/>
      <w:numFmt w:val="lowerLetter"/>
      <w:lvlText w:val="%5)"/>
      <w:lvlJc w:val="left"/>
      <w:pPr>
        <w:ind w:left="2700" w:hanging="420"/>
      </w:pPr>
    </w:lvl>
    <w:lvl w:ilvl="5">
      <w:start w:val="1"/>
      <w:numFmt w:val="lowerRoman"/>
      <w:lvlText w:val="%6."/>
      <w:lvlJc w:val="right"/>
      <w:pPr>
        <w:ind w:left="3120" w:hanging="420"/>
      </w:pPr>
    </w:lvl>
    <w:lvl w:ilvl="6">
      <w:start w:val="1"/>
      <w:numFmt w:val="decimal"/>
      <w:lvlText w:val="%7."/>
      <w:lvlJc w:val="left"/>
      <w:pPr>
        <w:ind w:left="3540" w:hanging="420"/>
      </w:pPr>
    </w:lvl>
    <w:lvl w:ilvl="7">
      <w:start w:val="1"/>
      <w:numFmt w:val="lowerLetter"/>
      <w:lvlText w:val="%8)"/>
      <w:lvlJc w:val="left"/>
      <w:pPr>
        <w:ind w:left="3960" w:hanging="420"/>
      </w:pPr>
    </w:lvl>
    <w:lvl w:ilvl="8">
      <w:start w:val="1"/>
      <w:numFmt w:val="lowerRoman"/>
      <w:lvlText w:val="%9."/>
      <w:lvlJc w:val="right"/>
      <w:pPr>
        <w:ind w:left="43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921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C419FE"/>
    <w:rsid w:val="00004A3D"/>
    <w:rsid w:val="00005888"/>
    <w:rsid w:val="0000661E"/>
    <w:rsid w:val="00035182"/>
    <w:rsid w:val="00036A2D"/>
    <w:rsid w:val="0005257F"/>
    <w:rsid w:val="000601B2"/>
    <w:rsid w:val="00063301"/>
    <w:rsid w:val="00077076"/>
    <w:rsid w:val="000820BF"/>
    <w:rsid w:val="000854DA"/>
    <w:rsid w:val="00093979"/>
    <w:rsid w:val="00094C66"/>
    <w:rsid w:val="000C328A"/>
    <w:rsid w:val="000F17E0"/>
    <w:rsid w:val="000F354B"/>
    <w:rsid w:val="00103FDD"/>
    <w:rsid w:val="0011611E"/>
    <w:rsid w:val="001412CE"/>
    <w:rsid w:val="001547A2"/>
    <w:rsid w:val="001741CD"/>
    <w:rsid w:val="001A3D6B"/>
    <w:rsid w:val="001B58E9"/>
    <w:rsid w:val="001E7A23"/>
    <w:rsid w:val="001F4112"/>
    <w:rsid w:val="00202918"/>
    <w:rsid w:val="00214055"/>
    <w:rsid w:val="00223782"/>
    <w:rsid w:val="00247B4F"/>
    <w:rsid w:val="00247DF4"/>
    <w:rsid w:val="00256311"/>
    <w:rsid w:val="002619B6"/>
    <w:rsid w:val="002A34AA"/>
    <w:rsid w:val="002C5729"/>
    <w:rsid w:val="002D7F88"/>
    <w:rsid w:val="002E540F"/>
    <w:rsid w:val="002E74B1"/>
    <w:rsid w:val="00305F33"/>
    <w:rsid w:val="00310D8C"/>
    <w:rsid w:val="00317BAE"/>
    <w:rsid w:val="0032261C"/>
    <w:rsid w:val="003254F8"/>
    <w:rsid w:val="00327A66"/>
    <w:rsid w:val="00332980"/>
    <w:rsid w:val="0036625A"/>
    <w:rsid w:val="00373B76"/>
    <w:rsid w:val="003873B7"/>
    <w:rsid w:val="0039772D"/>
    <w:rsid w:val="003A5918"/>
    <w:rsid w:val="0040545B"/>
    <w:rsid w:val="00434A5E"/>
    <w:rsid w:val="0046628C"/>
    <w:rsid w:val="00470BDD"/>
    <w:rsid w:val="00473CC5"/>
    <w:rsid w:val="00475C24"/>
    <w:rsid w:val="004861F8"/>
    <w:rsid w:val="004A41B9"/>
    <w:rsid w:val="004B29F6"/>
    <w:rsid w:val="004C4E81"/>
    <w:rsid w:val="004D4C52"/>
    <w:rsid w:val="004E45CC"/>
    <w:rsid w:val="004E64D2"/>
    <w:rsid w:val="004E7233"/>
    <w:rsid w:val="00521097"/>
    <w:rsid w:val="00540102"/>
    <w:rsid w:val="00571A9A"/>
    <w:rsid w:val="005870FF"/>
    <w:rsid w:val="00590F92"/>
    <w:rsid w:val="005A3BD0"/>
    <w:rsid w:val="005D5AAB"/>
    <w:rsid w:val="005D6A13"/>
    <w:rsid w:val="005E1C33"/>
    <w:rsid w:val="005E73B0"/>
    <w:rsid w:val="005F4C84"/>
    <w:rsid w:val="00602BE1"/>
    <w:rsid w:val="006104C5"/>
    <w:rsid w:val="00626552"/>
    <w:rsid w:val="00643C2F"/>
    <w:rsid w:val="006443D3"/>
    <w:rsid w:val="00690B90"/>
    <w:rsid w:val="00693648"/>
    <w:rsid w:val="006A372C"/>
    <w:rsid w:val="006B60EB"/>
    <w:rsid w:val="006C62D5"/>
    <w:rsid w:val="00713618"/>
    <w:rsid w:val="007169AC"/>
    <w:rsid w:val="0072410B"/>
    <w:rsid w:val="0074291E"/>
    <w:rsid w:val="00757A5A"/>
    <w:rsid w:val="00760460"/>
    <w:rsid w:val="00767292"/>
    <w:rsid w:val="00773D47"/>
    <w:rsid w:val="007A7D60"/>
    <w:rsid w:val="007B3A6F"/>
    <w:rsid w:val="007C2607"/>
    <w:rsid w:val="007C304C"/>
    <w:rsid w:val="007C381D"/>
    <w:rsid w:val="007F6F77"/>
    <w:rsid w:val="00800468"/>
    <w:rsid w:val="0082030D"/>
    <w:rsid w:val="008239BA"/>
    <w:rsid w:val="00852FDD"/>
    <w:rsid w:val="00854907"/>
    <w:rsid w:val="00855457"/>
    <w:rsid w:val="00862C18"/>
    <w:rsid w:val="00873927"/>
    <w:rsid w:val="00883492"/>
    <w:rsid w:val="008975A3"/>
    <w:rsid w:val="008A1957"/>
    <w:rsid w:val="008B2C8B"/>
    <w:rsid w:val="008C2A98"/>
    <w:rsid w:val="008C3A17"/>
    <w:rsid w:val="008D1746"/>
    <w:rsid w:val="008D5CF2"/>
    <w:rsid w:val="008D7143"/>
    <w:rsid w:val="008E683E"/>
    <w:rsid w:val="00904E18"/>
    <w:rsid w:val="009174A2"/>
    <w:rsid w:val="00931B91"/>
    <w:rsid w:val="009362E6"/>
    <w:rsid w:val="00944011"/>
    <w:rsid w:val="00996BD0"/>
    <w:rsid w:val="00997A8A"/>
    <w:rsid w:val="009A4453"/>
    <w:rsid w:val="009B49D4"/>
    <w:rsid w:val="009C23D9"/>
    <w:rsid w:val="009C786A"/>
    <w:rsid w:val="009E2A7A"/>
    <w:rsid w:val="009F0526"/>
    <w:rsid w:val="009F547E"/>
    <w:rsid w:val="00A00119"/>
    <w:rsid w:val="00A031B2"/>
    <w:rsid w:val="00A20B02"/>
    <w:rsid w:val="00A21B37"/>
    <w:rsid w:val="00A357A2"/>
    <w:rsid w:val="00A419EF"/>
    <w:rsid w:val="00A4618C"/>
    <w:rsid w:val="00A665C8"/>
    <w:rsid w:val="00A70304"/>
    <w:rsid w:val="00A74484"/>
    <w:rsid w:val="00A942B8"/>
    <w:rsid w:val="00AC096E"/>
    <w:rsid w:val="00AC3A69"/>
    <w:rsid w:val="00AC514E"/>
    <w:rsid w:val="00AC6DAE"/>
    <w:rsid w:val="00AE3DE3"/>
    <w:rsid w:val="00AE531B"/>
    <w:rsid w:val="00AF61A2"/>
    <w:rsid w:val="00B0150F"/>
    <w:rsid w:val="00B11533"/>
    <w:rsid w:val="00B1514C"/>
    <w:rsid w:val="00B31F82"/>
    <w:rsid w:val="00B36939"/>
    <w:rsid w:val="00B40B8F"/>
    <w:rsid w:val="00B61567"/>
    <w:rsid w:val="00B65C53"/>
    <w:rsid w:val="00B65D50"/>
    <w:rsid w:val="00B74827"/>
    <w:rsid w:val="00B75074"/>
    <w:rsid w:val="00B80030"/>
    <w:rsid w:val="00B81DEF"/>
    <w:rsid w:val="00BB0ADA"/>
    <w:rsid w:val="00BB52A0"/>
    <w:rsid w:val="00BB7EED"/>
    <w:rsid w:val="00BC5241"/>
    <w:rsid w:val="00BD3C36"/>
    <w:rsid w:val="00BE0542"/>
    <w:rsid w:val="00BF5BB8"/>
    <w:rsid w:val="00C00B42"/>
    <w:rsid w:val="00C15D13"/>
    <w:rsid w:val="00C17865"/>
    <w:rsid w:val="00C251B0"/>
    <w:rsid w:val="00C3205D"/>
    <w:rsid w:val="00C3746E"/>
    <w:rsid w:val="00C419FE"/>
    <w:rsid w:val="00C542AC"/>
    <w:rsid w:val="00C67426"/>
    <w:rsid w:val="00C75DDD"/>
    <w:rsid w:val="00C84E8A"/>
    <w:rsid w:val="00CC241E"/>
    <w:rsid w:val="00CC4677"/>
    <w:rsid w:val="00CC7281"/>
    <w:rsid w:val="00CE36FC"/>
    <w:rsid w:val="00CF49EF"/>
    <w:rsid w:val="00D162BE"/>
    <w:rsid w:val="00D212D2"/>
    <w:rsid w:val="00D41623"/>
    <w:rsid w:val="00D51DFA"/>
    <w:rsid w:val="00D6052F"/>
    <w:rsid w:val="00D61BE3"/>
    <w:rsid w:val="00D66795"/>
    <w:rsid w:val="00D86D81"/>
    <w:rsid w:val="00DA5BA4"/>
    <w:rsid w:val="00DB56A6"/>
    <w:rsid w:val="00DD00C3"/>
    <w:rsid w:val="00DD21B1"/>
    <w:rsid w:val="00DE5399"/>
    <w:rsid w:val="00E20608"/>
    <w:rsid w:val="00E23FD9"/>
    <w:rsid w:val="00E30613"/>
    <w:rsid w:val="00E87DBF"/>
    <w:rsid w:val="00E94040"/>
    <w:rsid w:val="00EB0575"/>
    <w:rsid w:val="00EB1C59"/>
    <w:rsid w:val="00EF69F5"/>
    <w:rsid w:val="00F11517"/>
    <w:rsid w:val="00F1167B"/>
    <w:rsid w:val="00F51FFF"/>
    <w:rsid w:val="00F572F4"/>
    <w:rsid w:val="00F67B70"/>
    <w:rsid w:val="00F67FBC"/>
    <w:rsid w:val="00F87D97"/>
    <w:rsid w:val="00F87DA4"/>
    <w:rsid w:val="00FF13FF"/>
    <w:rsid w:val="3236040F"/>
    <w:rsid w:val="4583495D"/>
    <w:rsid w:val="6D0B496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semiHidden="0" w:uiPriority="0" w:unhideWhenUsed="0" w:qFormat="1"/>
    <w:lsdException w:name="Subtitle" w:semiHidden="0" w:uiPriority="11" w:unhideWhenUsed="0" w:qFormat="1"/>
    <w:lsdException w:name="Body Text First Indent" w:uiPriority="0" w:qFormat="1"/>
    <w:lsdException w:name="Strong" w:semiHidden="0" w:uiPriority="22" w:unhideWhenUsed="0" w:qFormat="1"/>
    <w:lsdException w:name="Emphasis" w:semiHidden="0" w:uiPriority="20" w:unhideWhenUsed="0" w:qFormat="1"/>
    <w:lsdException w:name="Normal Table" w:qFormat="1"/>
    <w:lsdException w:name="Balloon Text" w:uiPriority="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B0150F"/>
    <w:pPr>
      <w:widowControl w:val="0"/>
      <w:jc w:val="both"/>
    </w:pPr>
    <w:rPr>
      <w:kern w:val="2"/>
      <w:sz w:val="21"/>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0">
    <w:name w:val="正文（首行缩进）"/>
    <w:basedOn w:val="a4"/>
    <w:next w:val="a5"/>
    <w:qFormat/>
    <w:rsid w:val="00B0150F"/>
    <w:pPr>
      <w:snapToGrid w:val="0"/>
      <w:spacing w:line="288" w:lineRule="auto"/>
      <w:ind w:firstLine="880"/>
    </w:pPr>
    <w:rPr>
      <w:rFonts w:eastAsia="方正书宋简体"/>
      <w:sz w:val="24"/>
      <w:szCs w:val="21"/>
    </w:rPr>
  </w:style>
  <w:style w:type="paragraph" w:styleId="a4">
    <w:name w:val="Body Text First Indent"/>
    <w:basedOn w:val="a6"/>
    <w:semiHidden/>
    <w:unhideWhenUsed/>
    <w:qFormat/>
    <w:rsid w:val="00B0150F"/>
    <w:pPr>
      <w:ind w:firstLineChars="100" w:firstLine="420"/>
    </w:pPr>
    <w:rPr>
      <w:rFonts w:ascii="Calibri" w:hAnsi="Calibri"/>
      <w:szCs w:val="22"/>
    </w:rPr>
  </w:style>
  <w:style w:type="paragraph" w:styleId="a6">
    <w:name w:val="Body Text"/>
    <w:basedOn w:val="a"/>
    <w:qFormat/>
    <w:rsid w:val="00B0150F"/>
    <w:pPr>
      <w:spacing w:after="120"/>
    </w:pPr>
    <w:rPr>
      <w:szCs w:val="24"/>
    </w:rPr>
  </w:style>
  <w:style w:type="paragraph" w:styleId="a5">
    <w:name w:val="Balloon Text"/>
    <w:basedOn w:val="a"/>
    <w:semiHidden/>
    <w:qFormat/>
    <w:rsid w:val="00B0150F"/>
    <w:rPr>
      <w:sz w:val="18"/>
      <w:szCs w:val="18"/>
    </w:rPr>
  </w:style>
  <w:style w:type="paragraph" w:styleId="a7">
    <w:name w:val="footer"/>
    <w:basedOn w:val="a"/>
    <w:link w:val="Char"/>
    <w:uiPriority w:val="99"/>
    <w:unhideWhenUsed/>
    <w:rsid w:val="00B0150F"/>
    <w:pPr>
      <w:tabs>
        <w:tab w:val="center" w:pos="4153"/>
        <w:tab w:val="right" w:pos="8306"/>
      </w:tabs>
      <w:snapToGrid w:val="0"/>
      <w:jc w:val="left"/>
    </w:pPr>
    <w:rPr>
      <w:sz w:val="18"/>
      <w:szCs w:val="18"/>
    </w:rPr>
  </w:style>
  <w:style w:type="paragraph" w:styleId="a8">
    <w:name w:val="header"/>
    <w:basedOn w:val="a"/>
    <w:link w:val="Char0"/>
    <w:uiPriority w:val="99"/>
    <w:semiHidden/>
    <w:unhideWhenUsed/>
    <w:rsid w:val="00B0150F"/>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1"/>
    <w:link w:val="a8"/>
    <w:uiPriority w:val="99"/>
    <w:semiHidden/>
    <w:rsid w:val="00B0150F"/>
    <w:rPr>
      <w:rFonts w:ascii="Times New Roman" w:eastAsia="宋体" w:hAnsi="Times New Roman" w:cs="Times New Roman"/>
      <w:sz w:val="18"/>
      <w:szCs w:val="18"/>
    </w:rPr>
  </w:style>
  <w:style w:type="character" w:customStyle="1" w:styleId="Char">
    <w:name w:val="页脚 Char"/>
    <w:basedOn w:val="a1"/>
    <w:link w:val="a7"/>
    <w:uiPriority w:val="99"/>
    <w:rsid w:val="00B0150F"/>
    <w:rPr>
      <w:rFonts w:ascii="Times New Roman" w:eastAsia="宋体" w:hAnsi="Times New Roman" w:cs="Times New Roman"/>
      <w:sz w:val="18"/>
      <w:szCs w:val="18"/>
    </w:rPr>
  </w:style>
  <w:style w:type="paragraph" w:styleId="a9">
    <w:name w:val="List Paragraph"/>
    <w:basedOn w:val="a"/>
    <w:uiPriority w:val="34"/>
    <w:qFormat/>
    <w:rsid w:val="00B0150F"/>
    <w:pPr>
      <w:ind w:firstLineChars="200" w:firstLine="42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451</Words>
  <Characters>2571</Characters>
  <Application>Microsoft Office Word</Application>
  <DocSecurity>0</DocSecurity>
  <Lines>21</Lines>
  <Paragraphs>6</Paragraphs>
  <ScaleCrop>false</ScaleCrop>
  <Company/>
  <LinksUpToDate>false</LinksUpToDate>
  <CharactersWithSpaces>3016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Administrator</cp:lastModifiedBy>
  <cp:revision>45</cp:revision>
  <cp:lastPrinted>2019-03-18T01:01:00Z</cp:lastPrinted>
  <dcterms:created xsi:type="dcterms:W3CDTF">2017-01-14T02:47:00Z</dcterms:created>
  <dcterms:modified xsi:type="dcterms:W3CDTF">2022-03-24T07:06:00Z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ies>
</file>